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8C9" w:rsidRPr="001168C9" w:rsidRDefault="001168C9" w:rsidP="00116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ПРОЕКТНАЯ ДЕКЛАРАЦИЯ</w:t>
      </w:r>
    </w:p>
    <w:p w:rsidR="001168C9" w:rsidRPr="001168C9" w:rsidRDefault="001168C9" w:rsidP="001168C9">
      <w:pPr>
        <w:spacing w:after="0" w:line="240" w:lineRule="auto"/>
        <w:ind w:left="283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                                                                                                     </w:t>
      </w: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       07 мая   2013 года</w:t>
      </w:r>
    </w:p>
    <w:p w:rsidR="001168C9" w:rsidRPr="001168C9" w:rsidRDefault="001168C9" w:rsidP="001168C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9-ти этажный 2-х секционный жилой дом</w:t>
      </w:r>
    </w:p>
    <w:p w:rsidR="001168C9" w:rsidRPr="001168C9" w:rsidRDefault="001168C9" w:rsidP="00116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по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адресу: Московская область, Сергиево - Посадский муниципальный район,</w:t>
      </w:r>
    </w:p>
    <w:p w:rsidR="001168C9" w:rsidRPr="001168C9" w:rsidRDefault="001168C9" w:rsidP="00116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городское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поселение Хотьково, г. Хотьково, ул. Академика Королёва, д.4-а</w:t>
      </w:r>
    </w:p>
    <w:p w:rsidR="001168C9" w:rsidRPr="001168C9" w:rsidRDefault="001168C9" w:rsidP="00116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  </w:t>
      </w:r>
      <w:proofErr w:type="gramStart"/>
      <w:r w:rsidRPr="001168C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( с</w:t>
      </w:r>
      <w:proofErr w:type="gramEnd"/>
      <w:r w:rsidRPr="001168C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учетом изменений от 30.07.2013 г., 28.10.2013 г., 31.03.2014 г., 05.04.2014 г.)</w:t>
      </w:r>
    </w:p>
    <w:p w:rsidR="001168C9" w:rsidRPr="001168C9" w:rsidRDefault="001168C9" w:rsidP="00116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Информация о застройщике:</w:t>
      </w:r>
    </w:p>
    <w:p w:rsidR="001168C9" w:rsidRPr="001168C9" w:rsidRDefault="001168C9" w:rsidP="001168C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1.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Открытое акционерное общество (ОАО) "ГЛАВУКС", правопреемник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ГлавУКСа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 Мособлисполкоме, образованном в 1957 году.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Юридический и фактический адрес: 127083, г. Москва, Петровско-</w:t>
      </w:r>
      <w:bookmarkStart w:id="0" w:name="_GoBack"/>
      <w:bookmarkEnd w:id="0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Разумовская аллея, дом 10, корп. 2.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Генеральный директор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Ванькович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Андрей Игнатьевич.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Режим работы: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пн.-чт.: с 9.00 до 18.00, обед с 13.00 до 13.45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пт.: с 9.00 до 17.45, обед с 13.00 до 13.45</w:t>
      </w:r>
    </w:p>
    <w:p w:rsidR="001168C9" w:rsidRPr="001168C9" w:rsidRDefault="001168C9" w:rsidP="001168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2.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Зарегистрировано Московской регистрационной палатой 28 января 1993 года №021.014 бланк свидетельства серия ЛО №024985.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Свидетельство о внесении записи в Единый государственный реестр юридических лиц о юридическом лице, зарегистрированном до 01 июля 2002 года от 25 октября 2002 года, бланк серия 77 № 011303914, ОГРН 1027700355165.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Свидетельство о постановке на учет в налоговом органе юридического лица, образованного в соответствии с законодательством РФ, по месту нахождения на территории РФ от 08 октября 2002 года, бланк серия 77 №005654714, ИНН 5000000218, КПП 774501001.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Открытое акционерное общество «ГЛАВУКС» в соответствии с Законом РСФСР «О приватизации государственных и муниципальных предприятий в РСФСР», Государственной программой приватизации государственных и муниципальных предприятий в Российской Федерации на 1992 год преобразовано из государственного предприятия «Главное управление капитального строительства при Мособлисполкоме». Участники застройщика, которые обладают пятью и более процентами голосов в органе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управления  ОАО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«ГЛАВУКС»: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Кумскова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Татьяна Валериевна – 29,92%; Мордовская Людмила Михайловна – 7,32%;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Усикова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Виктория Валерьевна – 9,03%.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4.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За предыдущие три года ОАО «ГЛАВУКС» выступало застройщиком по строительству следующих многоквартирных домов: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·           г. Щелково, ул.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Талсинская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14-этажный 78-квартирный жилой дом № 26, ввод в эксплуатацию по проекту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–  декабрь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2009 г., фактически введен  в декабре 2009 г.;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 г. Апрелевка, Наро-Фоминского района, пер. Цветочный, два многоквартирных 3-этажных жилых дома с мансардным этажом №№ 11, 15, один 3-х этажный 5-квартирный типа «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таунхаус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» № 14 – ввод в эксплуатацию по проекту –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квартал 2010г., фактически введены в марте 2010 г.;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 г. Апрелевка, Наро-Фоминского района, пер. Цветочный, пять жилых домов типа «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таунхаус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 №№ 8, 10, 12, 17,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19  –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ввод в эксплуатацию по проекту – 31 декабря  2010 г., фактически введен 22 декабря 2010 г.;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·           г. Апрелевка, Наро-Фоминского района, пер. Цветочный, два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девятиквартирных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3-этажных жилых дома №№ 6, 21 – ввод в эксплуатацию по проекту – 31 октября 2011г., фактически введены в июле 2011 г.;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 г. Хотьково, Сергиево-Посадский муниципальный район, городское поселение Хотьково, ул. Академика Королева, многоэтажный жилой дом № 9 с офисными помещениями – ввод в эксплуатацию по проекту –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квартал 2011 г., фактически введен 02 февраля 2011г.;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·          г. Мытищи,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Новомытищинский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пр-т, д. 41А – многоэтажный жилой дом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c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первым нежилым этажом и подземной автостоянкой, ввод в эксплуатацию по проекту - 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II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квартал 2011 г., фактически введен 20 июня 2011 г.;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·          г. Коломна, ул. Октябрьской революции, д. 221б, 3-этажный жилой дом на 30 квартир, ввод в эксплуатацию по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проекту  -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квартал 2011 г., фактически введен 31 марта 2011г.;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·          г. Щелково, ул.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Талсинская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, 14-16 этажный жилой дом № 23 – 1 этап строительства (секция № 3 и № 4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),  ввод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эксплуатацию по проекту –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III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квартал 2011 г., фактически введен 12 августа 2011 г.</w:t>
      </w:r>
    </w:p>
    <w:p w:rsidR="001168C9" w:rsidRPr="001168C9" w:rsidRDefault="001168C9" w:rsidP="001168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г.п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. Тучково, ул. Лебеденко, д. 29Б, 9-этажный жилой дом, ввод в эксплуатацию по проекту –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II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квартал 2013 г., фактически введен в декабре 2012 г.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5. 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Лицензии: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30 августа 2012 года получено Свидетельство о допуске к работам, которые оказывают влияние на безопасность объектов капитального строительства, регистрационный номер 0469.02-2010-5000000218-С-035, выдано Некоммерческим партнерством «Саморегулируемая организация «Союз строителей Московской области «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Мособлстройкомплекс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». Свидетельство было выдано взамен ранее выданного от «16» декабря 2010 г. № 0469.01-2010-5000000218-С-035.Свидетельство действительно без ограничения срока и территории его действия.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6. 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Финансовый результат на 31.12.2013 г. – 120 701 000 рублей;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   Размер кредиторской задолженности – 230 698 000 рублей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   Размер дебиторской задолженности – 101 737 000 рублей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 </w:t>
      </w:r>
    </w:p>
    <w:p w:rsidR="001168C9" w:rsidRPr="001168C9" w:rsidRDefault="001168C9" w:rsidP="00116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Информация о проекте строительства:</w:t>
      </w:r>
    </w:p>
    <w:p w:rsidR="001168C9" w:rsidRPr="001168C9" w:rsidRDefault="001168C9" w:rsidP="001168C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Цель проекта строительства</w:t>
      </w: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–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9-ти этажный жилой дом планируется построить для улучшения жилищных условий жителей г. Хотьково.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Начало строительства -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II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квартал 2013 года.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Ожидаемый срок окончания строительства -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IV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квартал 2014 года.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Очередность строительства - в одну очередь.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Получено положительное заключение Центра судебных и негосударственных экспертиз «ИНДЕКС» от 19.04.2013г.  № 4-1-1-0162-13.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2.  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Разрешение на строительство №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RU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50512103-30 от 06.05.2013 г. до 06.04.2014 г. продлено 05.04.2014 г. до 31.12.2014 г.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3.   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Договор аренды земельного участка</w:t>
      </w: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ДЗ-387 от 01.07.2010 г., зарегистрированный 28.12.2010г. в Управлении Федеральной службы государственной регистрации, кадастра и картографии по Московской области № 50-50-05/134/2010-58; площадь участка в пределах землеотвода – 3500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кв.м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.; кадастровый номер 50:05:0050105:312. Предоставленный в аренду земельный участок – государственная собственность, подлежащая разграничению. Арендодатель: Администрация Сергиево - Посадского муниципального района Московской области. Арендатор: ОАО «ГЛАВУКС»;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    Проектом предусмотрено благоустройство прилегающей территории. Участок строительства благоустраивается за счет устройства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отмосток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проездов с асфальтобетонным покрытием с бортовым камнем, гостевых автостоянок, устройства тротуаров с покрытием из асфальтобетона, площадок отдыха детей и взрослых, хозяйственных площадок, спортивных площадок, озеленения, малых архитектурных форм, площадки для мусоросборников. Озеленение территории предусматривается устройством газонов и цветников, посадкой деревьев лиственных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пород  и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кустарников.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На участке строительства расположен один 9-этажный жилой дом.</w:t>
      </w: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4. 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Участок треугольной формы расположен по адресу: Московская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область,  Сергиево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-Посадский муниципальный  район,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г.п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Хотьково, г. Хотьково, ул. Академика Королева, д. 4-а, на территории, рассматриваемой в структуре города как жилой квартал и 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граничит: с севера местным проездом, с востока улицей 2-я Митино, с запада находится существующий жилой дом, к югу от рассматриваемого участка расположены дома усадебного типа, подлежащие сносу.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5.  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Объект представляет собой 9-ти этажное, двухсекционное здание, с техническим подвалом и верхним техническим этажом. 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    Технический подвал высотой 2,20м (в чистоте) и верхний технический этаж высотой 1,8м (в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чистоте)  используются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для прокладки инженерных коммуникаций.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    На 1-м этаже в 1-й секции дома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размещаются  квартиры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(1-2 комнатные), входные тамбуры, вестибюли, лестничные клетки, коридоры, помещение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мусорокамеры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помещение уборочного инвентаря,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электрощитовая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, лифтовой холл. Высота жилых этажей от пола до пола – 3,0 м.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    На 1-м этаже во 2-й секции дома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размещаются  квартиры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(1-2 комнатные), входные тамбуры, вестибюли, помещение диспетчерского контроля лифтов, оборудованное санузлом, лестничные клетки, коридоры, помещение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мусорокамеры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, помещение уборочного инвентаря, лифтовой холл.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           На 2-9 этажах располагаются 1-2 комнатные квартиры. Планировка квартир запроектирована с учётом инсоляции и в соответствии с заданием Заказчика, требованиям по обеспечению оптимального комфорта проживания.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    Каждая квартира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имеет  остекленный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балкон или лоджию. Высота жилых этажей (1÷9) от пола до пола – 3,0 м.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Связь между этажами в каждой секции предусмотрена по лестничной клетке и с помощью лифта. В каждой секции предусмотрен лифт грузоподъемностью 630 кг со скоростью движения 1,0 м/с.</w:t>
      </w:r>
    </w:p>
    <w:p w:rsidR="001168C9" w:rsidRPr="001168C9" w:rsidRDefault="001168C9" w:rsidP="001168C9">
      <w:pPr>
        <w:spacing w:before="100" w:beforeAutospacing="1" w:after="100" w:afterAutospacing="1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Входы в жилые секции предусматриваются со стороны дворовой территории. Предусмотрено беспрепятственное передвижение инвалидов и других маломобильных групп населения. Ширина тротуаров принята 1,5 м. В местах пересечения пешеходных путей с проездом высота бортового камня составляет 4 см, съезды с тротуаров имеют уклон, не превышающий 1:10.</w:t>
      </w:r>
    </w:p>
    <w:p w:rsidR="001168C9" w:rsidRPr="001168C9" w:rsidRDefault="001168C9" w:rsidP="001168C9">
      <w:pPr>
        <w:spacing w:before="100" w:beforeAutospacing="1" w:after="100" w:afterAutospacing="1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Транспортное обслуживание осуществляется от существующей улицы 2-я Митино и местного проезда, проходящих с северной и восточной стороны рассматриваемой территории. Предусмотрен кольцевой проезд вокруг жилого дома шириной 6,0 м, что позволит осуществлять подъезд пожарной техники.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Жилые помещения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квартир – 5 703,18 м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2.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proofErr w:type="gramEnd"/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Общее количество квартир – 124 шт., в том числе: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однокомнатных – 89 шт.;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двухкомнатных – 35 шт.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Характеристики квартир: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1 секция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Общее количество квартир – 62 шт., в том числе: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однокомнатных – 45 шт.;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двухкомнатных – 17 шт.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Первый этаж: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 шт.) №1: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64,81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29,95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10,05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 шт.) №2: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40,69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16,26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11,30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 шт.)  № 3: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37,65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16,48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9,70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(2 шт.) № 4,5: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39,50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16,30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9,70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 шт.) № 6: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46,57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16,05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9,67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2-9 этажи: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 № 7, 14, 21, 28, 35, 42, 49, 56: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64,66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29,95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9,95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 № 8, 15, 22, 29, 36, 43, 50, 57: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40,59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16,26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11,20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  № 9,16,23,30,37,44,51,58: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37,55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16,48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9,60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(16 шт.) № 10,11,17,18,24,25,31,32,38,39,45,46,52,53,59,60: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39,40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16,30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9,60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 № 12,19,26,33,40,47,54,61: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63,28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30,63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9,67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 № 13,20,27,34,41,48,55,62: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37,04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16,04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8,65 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2 секция: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Общее количество квартир – 62 шт., в том числе: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однокомнатных – 44 шт.;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·          двухкомнатных – 18 шт.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Первый этаж: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 шт.) № 63: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60,14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29,80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9,67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(2 шт.) № 64,65: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39,50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16,30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9,70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 шт.)  № 66: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37,65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16,48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9,70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 шт.) № 67: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40,69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16,26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11,30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 шт.) № 68: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64,98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29,95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10,05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2-9 этажи: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 № 69,76,83,90,97,104,111,118: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37,04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16,04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  8,65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 № 70,77,84,91,98,105,112,119: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63,27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30,63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9,67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(16 шт.) № 71,72,78,79,85,86,92,93,99,100,106,107,113,114,120,121: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39,40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16,30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9,60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  № 73,80,87,94,101,108,115,122: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37,55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16,48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9,60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 № 74,81,88,95,102,109,116,123: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40,59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16,26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11,20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(8 шт.) № 75,82,89,96,103,110,117,124: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общая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64,83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жилая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 – 29,95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кухня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9,95 м</w:t>
      </w:r>
      <w:r w:rsidRPr="001168C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6. 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Функциональное назначение нежилых помещений в строящемся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многоквартирном  9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-этажном жилом доме, не входящих в состав общего долевого имущества - не предусмотрены.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7. 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состав общего имущества в жилом доме, которое будет находиться в долевой собственности участников долевого строительства, входят: инженерно-техническое оборудование, входные тамбуры, вестибюли, лестничные клетки, коридоры, помещение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мусорокамеры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помещение уборочного инвентаря,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электрощитовая</w:t>
      </w:r>
      <w:proofErr w:type="spell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, лифтовой холл, помещение диспетчерского контроля лифтов, оборудованное санузлом, ИТП, водомерный узел.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8. 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Предварительный срок получения разрешения на ввод в эксплуатацию жилого дома – </w:t>
      </w:r>
      <w:r w:rsidRPr="001168C9">
        <w:rPr>
          <w:rFonts w:ascii="Verdana" w:eastAsia="Times New Roman" w:hAnsi="Verdana" w:cs="Times New Roman"/>
          <w:sz w:val="20"/>
          <w:szCs w:val="20"/>
          <w:lang w:val="en-US" w:eastAsia="ru-RU"/>
        </w:rPr>
        <w:t>IV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квартал 2014 года.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Орган, уполномоченный в соответствии с законодательством о градостроительной деятельности на выдачу разрешения на ввод в эксплуатацию жилого дома – Администрация городского поселения Хотьково Сергиево-Посадского муниципального района Московской области.</w:t>
      </w: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9. 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Производится страхование строительно-монтажных рисков, финансовых рисков.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9.1 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Планируемая стоимость строительства объекта – </w:t>
      </w: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225 000 000</w:t>
      </w:r>
      <w:r w:rsidRPr="001168C9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рублей.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10. 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Генеральный подрядчик – ООО «Электромонтаж Плюс»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     Проектная организация – ООО «Мастерская 69».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11. 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обеспечении исполнения обязательств застройщика по договору участия в долевом строительстве считается в соответствии со ст. 13 Федерального закона №214-ФЗ от 30.12.2004 г.  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находящееся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залоге у участников долевого строительства право аренды земельного участка, на котором застройщик строит данный объект недвижимости.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12.</w:t>
      </w: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Иные договора и сделки, на основании которых привлекаются денежные средства, для строительства данного объекта, недвижимости - отсутствуют.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Генеральный директор</w:t>
      </w:r>
    </w:p>
    <w:p w:rsidR="001168C9" w:rsidRPr="001168C9" w:rsidRDefault="001168C9" w:rsidP="001168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ОАО «</w:t>
      </w:r>
      <w:proofErr w:type="gram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ГЛАВУКС»   </w:t>
      </w:r>
      <w:proofErr w:type="gramEnd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 А.И. </w:t>
      </w:r>
      <w:proofErr w:type="spellStart"/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Ванькович</w:t>
      </w:r>
      <w:proofErr w:type="spellEnd"/>
    </w:p>
    <w:p w:rsidR="001168C9" w:rsidRPr="001168C9" w:rsidRDefault="001168C9" w:rsidP="00116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68C9" w:rsidRPr="001168C9" w:rsidRDefault="001168C9" w:rsidP="00116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8C9">
        <w:rPr>
          <w:rFonts w:ascii="Verdana" w:eastAsia="Times New Roman" w:hAnsi="Verdana" w:cs="Times New Roman"/>
          <w:sz w:val="20"/>
          <w:szCs w:val="20"/>
          <w:lang w:eastAsia="ru-RU"/>
        </w:rPr>
        <w:t>Главный бухгалтер                                                                         А.И. Лавров</w:t>
      </w:r>
    </w:p>
    <w:p w:rsidR="0097380B" w:rsidRPr="001168C9" w:rsidRDefault="0097380B"/>
    <w:sectPr w:rsidR="0097380B" w:rsidRPr="0011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C9"/>
    <w:rsid w:val="001168C9"/>
    <w:rsid w:val="009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21212-69B6-4C8E-8CAD-42990CC4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Костина</dc:creator>
  <cp:keywords/>
  <dc:description/>
  <cp:lastModifiedBy>Ирина Костина</cp:lastModifiedBy>
  <cp:revision>1</cp:revision>
  <dcterms:created xsi:type="dcterms:W3CDTF">2014-05-12T09:44:00Z</dcterms:created>
  <dcterms:modified xsi:type="dcterms:W3CDTF">2014-05-12T09:45:00Z</dcterms:modified>
</cp:coreProperties>
</file>