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D5" w:rsidRPr="00EC50CD" w:rsidRDefault="008D0ED5" w:rsidP="00303406">
      <w:pPr>
        <w:jc w:val="right"/>
        <w:rPr>
          <w:b/>
          <w:sz w:val="22"/>
          <w:szCs w:val="22"/>
        </w:rPr>
      </w:pPr>
      <w:r w:rsidRPr="00EC50CD">
        <w:rPr>
          <w:b/>
          <w:sz w:val="22"/>
          <w:szCs w:val="22"/>
        </w:rPr>
        <w:tab/>
      </w:r>
      <w:r w:rsidRPr="00EC50CD">
        <w:rPr>
          <w:b/>
          <w:sz w:val="22"/>
          <w:szCs w:val="22"/>
        </w:rPr>
        <w:tab/>
      </w:r>
      <w:r w:rsidRPr="00EC50CD">
        <w:rPr>
          <w:b/>
          <w:sz w:val="22"/>
          <w:szCs w:val="22"/>
        </w:rPr>
        <w:tab/>
      </w:r>
      <w:r w:rsidRPr="00EC50CD">
        <w:rPr>
          <w:b/>
          <w:sz w:val="22"/>
          <w:szCs w:val="22"/>
        </w:rPr>
        <w:tab/>
        <w:t>«УТВЕРЖДЕНО»</w:t>
      </w:r>
    </w:p>
    <w:p w:rsidR="008D0ED5" w:rsidRPr="00EC50CD" w:rsidRDefault="008D0ED5" w:rsidP="007C11FE">
      <w:pPr>
        <w:jc w:val="right"/>
        <w:rPr>
          <w:b/>
          <w:sz w:val="22"/>
          <w:szCs w:val="22"/>
        </w:rPr>
      </w:pPr>
      <w:r w:rsidRPr="00EC50CD">
        <w:rPr>
          <w:b/>
          <w:sz w:val="22"/>
          <w:szCs w:val="22"/>
        </w:rPr>
        <w:t xml:space="preserve">Приказом № </w:t>
      </w:r>
      <w:r w:rsidR="00CF06A1">
        <w:rPr>
          <w:b/>
          <w:bCs/>
        </w:rPr>
        <w:t>ПД-Б1-15-0</w:t>
      </w:r>
      <w:r w:rsidR="002E28C9">
        <w:rPr>
          <w:b/>
          <w:bCs/>
        </w:rPr>
        <w:t>3</w:t>
      </w:r>
    </w:p>
    <w:p w:rsidR="008D0ED5" w:rsidRPr="00EC50CD" w:rsidRDefault="008D0ED5" w:rsidP="007C11FE">
      <w:pPr>
        <w:jc w:val="right"/>
        <w:rPr>
          <w:b/>
          <w:sz w:val="22"/>
          <w:szCs w:val="22"/>
        </w:rPr>
      </w:pPr>
      <w:r w:rsidRPr="00EC50CD">
        <w:rPr>
          <w:b/>
          <w:sz w:val="22"/>
          <w:szCs w:val="22"/>
        </w:rPr>
        <w:t>от «</w:t>
      </w:r>
      <w:r w:rsidR="000F2C0A">
        <w:rPr>
          <w:b/>
          <w:sz w:val="22"/>
          <w:szCs w:val="22"/>
        </w:rPr>
        <w:t>1</w:t>
      </w:r>
      <w:r w:rsidR="002E28C9">
        <w:rPr>
          <w:b/>
          <w:sz w:val="22"/>
          <w:szCs w:val="22"/>
        </w:rPr>
        <w:t>0</w:t>
      </w:r>
      <w:r w:rsidRPr="00EC50CD">
        <w:rPr>
          <w:b/>
          <w:sz w:val="22"/>
          <w:szCs w:val="22"/>
        </w:rPr>
        <w:t>»</w:t>
      </w:r>
      <w:r w:rsidR="002E28C9">
        <w:rPr>
          <w:b/>
          <w:sz w:val="22"/>
          <w:szCs w:val="22"/>
        </w:rPr>
        <w:t>сентября</w:t>
      </w:r>
      <w:r w:rsidRPr="00EC50CD">
        <w:rPr>
          <w:b/>
          <w:sz w:val="22"/>
          <w:szCs w:val="22"/>
        </w:rPr>
        <w:t xml:space="preserve"> 201</w:t>
      </w:r>
      <w:r w:rsidR="00A77AA8" w:rsidRPr="00EC50CD">
        <w:rPr>
          <w:b/>
          <w:sz w:val="22"/>
          <w:szCs w:val="22"/>
        </w:rPr>
        <w:t>4</w:t>
      </w:r>
      <w:r w:rsidRPr="00EC50CD">
        <w:rPr>
          <w:b/>
          <w:sz w:val="22"/>
          <w:szCs w:val="22"/>
        </w:rPr>
        <w:t xml:space="preserve"> года</w:t>
      </w:r>
    </w:p>
    <w:p w:rsidR="008D0ED5" w:rsidRPr="00EC50CD" w:rsidRDefault="008D0ED5" w:rsidP="007C11FE">
      <w:pPr>
        <w:jc w:val="right"/>
        <w:rPr>
          <w:b/>
          <w:sz w:val="22"/>
          <w:szCs w:val="22"/>
        </w:rPr>
      </w:pPr>
      <w:r w:rsidRPr="00EC50CD">
        <w:rPr>
          <w:b/>
          <w:sz w:val="22"/>
          <w:szCs w:val="22"/>
        </w:rPr>
        <w:tab/>
      </w:r>
      <w:r w:rsidRPr="00EC50CD">
        <w:rPr>
          <w:b/>
          <w:sz w:val="22"/>
          <w:szCs w:val="22"/>
        </w:rPr>
        <w:tab/>
      </w:r>
      <w:r w:rsidRPr="00EC50CD">
        <w:rPr>
          <w:b/>
          <w:sz w:val="22"/>
          <w:szCs w:val="22"/>
        </w:rPr>
        <w:tab/>
        <w:t xml:space="preserve">                          Генерального  директора</w:t>
      </w:r>
    </w:p>
    <w:p w:rsidR="008D0ED5" w:rsidRPr="00EC50CD" w:rsidRDefault="008D0ED5" w:rsidP="00303406">
      <w:pPr>
        <w:jc w:val="right"/>
        <w:rPr>
          <w:b/>
          <w:sz w:val="22"/>
          <w:szCs w:val="22"/>
        </w:rPr>
      </w:pPr>
      <w:r w:rsidRPr="00EC50CD">
        <w:rPr>
          <w:b/>
          <w:sz w:val="22"/>
          <w:szCs w:val="22"/>
        </w:rPr>
        <w:tab/>
        <w:t xml:space="preserve">                                                              ООО  «Гранель Девелопмент»</w:t>
      </w:r>
    </w:p>
    <w:p w:rsidR="008D0ED5" w:rsidRPr="00EC50CD" w:rsidRDefault="008D0ED5" w:rsidP="00303406">
      <w:pPr>
        <w:jc w:val="right"/>
        <w:rPr>
          <w:b/>
          <w:sz w:val="22"/>
          <w:szCs w:val="22"/>
        </w:rPr>
      </w:pPr>
      <w:r w:rsidRPr="00EC50CD">
        <w:rPr>
          <w:b/>
          <w:sz w:val="22"/>
          <w:szCs w:val="22"/>
        </w:rPr>
        <w:tab/>
      </w:r>
    </w:p>
    <w:p w:rsidR="008D0ED5" w:rsidRPr="00EC50CD" w:rsidRDefault="008D0ED5" w:rsidP="00303406">
      <w:pPr>
        <w:ind w:left="2124" w:firstLine="708"/>
        <w:jc w:val="right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52"/>
          <w:szCs w:val="52"/>
        </w:rPr>
      </w:pPr>
      <w:r w:rsidRPr="00EC50CD">
        <w:rPr>
          <w:b/>
          <w:sz w:val="52"/>
          <w:szCs w:val="52"/>
        </w:rPr>
        <w:t xml:space="preserve">ПРОЕКТНАЯ ДЕКЛАРАЦИЯ </w:t>
      </w:r>
    </w:p>
    <w:p w:rsidR="008D0ED5" w:rsidRPr="00EC50CD" w:rsidRDefault="008D0ED5" w:rsidP="00400E81">
      <w:pPr>
        <w:jc w:val="center"/>
        <w:rPr>
          <w:b/>
          <w:sz w:val="28"/>
          <w:szCs w:val="28"/>
        </w:rPr>
      </w:pPr>
      <w:r w:rsidRPr="00EC50CD">
        <w:rPr>
          <w:b/>
          <w:sz w:val="28"/>
          <w:szCs w:val="28"/>
        </w:rPr>
        <w:t xml:space="preserve">(редакция от </w:t>
      </w:r>
      <w:r w:rsidR="000F2C0A">
        <w:rPr>
          <w:b/>
          <w:sz w:val="28"/>
          <w:szCs w:val="28"/>
        </w:rPr>
        <w:t>1</w:t>
      </w:r>
      <w:r w:rsidR="002E28C9">
        <w:rPr>
          <w:b/>
          <w:sz w:val="28"/>
          <w:szCs w:val="28"/>
        </w:rPr>
        <w:t>0</w:t>
      </w:r>
      <w:r w:rsidR="00724425" w:rsidRPr="00EC50CD">
        <w:rPr>
          <w:b/>
          <w:sz w:val="28"/>
          <w:szCs w:val="28"/>
        </w:rPr>
        <w:t>.</w:t>
      </w:r>
      <w:r w:rsidR="002E28C9">
        <w:rPr>
          <w:b/>
          <w:sz w:val="28"/>
          <w:szCs w:val="28"/>
        </w:rPr>
        <w:t>09</w:t>
      </w:r>
      <w:r w:rsidR="00A77AA8" w:rsidRPr="00EC50CD">
        <w:rPr>
          <w:b/>
          <w:sz w:val="28"/>
          <w:szCs w:val="28"/>
        </w:rPr>
        <w:t xml:space="preserve">.2014 </w:t>
      </w:r>
      <w:r w:rsidRPr="00EC50CD">
        <w:rPr>
          <w:b/>
          <w:sz w:val="28"/>
          <w:szCs w:val="28"/>
        </w:rPr>
        <w:t>г.)</w:t>
      </w:r>
    </w:p>
    <w:p w:rsidR="008D0ED5" w:rsidRPr="00EC50CD" w:rsidRDefault="008D0ED5" w:rsidP="00C24311">
      <w:pPr>
        <w:jc w:val="center"/>
        <w:rPr>
          <w:b/>
          <w:sz w:val="28"/>
          <w:szCs w:val="28"/>
        </w:rPr>
      </w:pPr>
      <w:r w:rsidRPr="00EC50CD">
        <w:rPr>
          <w:b/>
          <w:sz w:val="28"/>
          <w:szCs w:val="28"/>
        </w:rPr>
        <w:t xml:space="preserve">на строительство объекта капитального строительства: </w:t>
      </w:r>
    </w:p>
    <w:p w:rsidR="0052046D" w:rsidRDefault="008D0ED5" w:rsidP="00C24311">
      <w:pPr>
        <w:jc w:val="center"/>
        <w:rPr>
          <w:b/>
          <w:sz w:val="28"/>
          <w:szCs w:val="28"/>
        </w:rPr>
      </w:pPr>
      <w:r w:rsidRPr="00EC50CD">
        <w:rPr>
          <w:b/>
          <w:sz w:val="28"/>
          <w:szCs w:val="28"/>
        </w:rPr>
        <w:t>жилая застройка с объектами социальной инфраструктуры (вторая очередь 3 этап) жилы</w:t>
      </w:r>
      <w:r w:rsidR="00105B8A" w:rsidRPr="00EC50CD">
        <w:rPr>
          <w:b/>
          <w:sz w:val="28"/>
          <w:szCs w:val="28"/>
        </w:rPr>
        <w:t>х</w:t>
      </w:r>
      <w:r w:rsidRPr="00EC50CD">
        <w:rPr>
          <w:b/>
          <w:sz w:val="28"/>
          <w:szCs w:val="28"/>
        </w:rPr>
        <w:t xml:space="preserve"> дом</w:t>
      </w:r>
      <w:r w:rsidR="00105B8A" w:rsidRPr="00EC50CD">
        <w:rPr>
          <w:b/>
          <w:sz w:val="28"/>
          <w:szCs w:val="28"/>
        </w:rPr>
        <w:t>ов</w:t>
      </w:r>
      <w:r w:rsidRPr="00EC50CD">
        <w:rPr>
          <w:b/>
          <w:sz w:val="28"/>
          <w:szCs w:val="28"/>
        </w:rPr>
        <w:t xml:space="preserve"> корп. </w:t>
      </w:r>
      <w:r w:rsidR="000132C1" w:rsidRPr="00EC50CD">
        <w:rPr>
          <w:b/>
          <w:sz w:val="28"/>
          <w:szCs w:val="28"/>
        </w:rPr>
        <w:t>№№</w:t>
      </w:r>
      <w:r w:rsidRPr="00EC50CD">
        <w:rPr>
          <w:b/>
          <w:sz w:val="28"/>
          <w:szCs w:val="28"/>
        </w:rPr>
        <w:t xml:space="preserve">7, 8, 9, расположенных по </w:t>
      </w:r>
      <w:r w:rsidR="007B1B81">
        <w:rPr>
          <w:b/>
          <w:sz w:val="28"/>
          <w:szCs w:val="28"/>
        </w:rPr>
        <w:t xml:space="preserve">строительному </w:t>
      </w:r>
      <w:r w:rsidRPr="00EC50CD">
        <w:rPr>
          <w:b/>
          <w:sz w:val="28"/>
          <w:szCs w:val="28"/>
        </w:rPr>
        <w:t>адресу: Московская область, г. Балашиха,</w:t>
      </w:r>
    </w:p>
    <w:p w:rsidR="008D0ED5" w:rsidRPr="00EC50CD" w:rsidRDefault="00724425" w:rsidP="00C24311">
      <w:pPr>
        <w:jc w:val="center"/>
        <w:rPr>
          <w:b/>
          <w:sz w:val="28"/>
          <w:szCs w:val="28"/>
        </w:rPr>
      </w:pPr>
      <w:r w:rsidRPr="00EC50CD">
        <w:rPr>
          <w:b/>
          <w:sz w:val="28"/>
          <w:szCs w:val="28"/>
        </w:rPr>
        <w:t>севернее</w:t>
      </w:r>
      <w:r w:rsidR="008D0ED5" w:rsidRPr="00EC50CD">
        <w:rPr>
          <w:b/>
          <w:sz w:val="28"/>
          <w:szCs w:val="28"/>
        </w:rPr>
        <w:t xml:space="preserve"> улицыЛукино</w:t>
      </w:r>
    </w:p>
    <w:p w:rsidR="008D0ED5" w:rsidRPr="00EC50CD" w:rsidRDefault="008D0ED5" w:rsidP="00821C88">
      <w:pPr>
        <w:jc w:val="center"/>
        <w:rPr>
          <w:b/>
          <w:sz w:val="28"/>
          <w:szCs w:val="28"/>
        </w:rPr>
      </w:pPr>
    </w:p>
    <w:p w:rsidR="008D0ED5" w:rsidRPr="00EC50CD" w:rsidRDefault="008D0ED5" w:rsidP="00821C88">
      <w:pPr>
        <w:jc w:val="center"/>
        <w:rPr>
          <w:b/>
          <w:sz w:val="28"/>
          <w:szCs w:val="28"/>
        </w:rPr>
      </w:pPr>
    </w:p>
    <w:p w:rsidR="008D0ED5" w:rsidRPr="00EC50CD" w:rsidRDefault="008D0ED5" w:rsidP="00821C88">
      <w:pPr>
        <w:jc w:val="center"/>
        <w:rPr>
          <w:b/>
          <w:sz w:val="28"/>
          <w:szCs w:val="28"/>
        </w:rPr>
      </w:pPr>
    </w:p>
    <w:p w:rsidR="008D0ED5" w:rsidRPr="00EC50CD" w:rsidRDefault="008D0ED5" w:rsidP="00821C88">
      <w:pPr>
        <w:jc w:val="center"/>
        <w:rPr>
          <w:b/>
          <w:sz w:val="28"/>
          <w:szCs w:val="28"/>
        </w:rPr>
      </w:pPr>
    </w:p>
    <w:p w:rsidR="008D0ED5" w:rsidRPr="00EC50CD" w:rsidRDefault="008D0ED5" w:rsidP="00821C88">
      <w:pPr>
        <w:jc w:val="center"/>
        <w:rPr>
          <w:b/>
          <w:sz w:val="28"/>
          <w:szCs w:val="28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  <w:r w:rsidRPr="00EC50CD">
        <w:rPr>
          <w:b/>
          <w:sz w:val="22"/>
          <w:szCs w:val="22"/>
        </w:rPr>
        <w:t>г. МОСКВА, 201</w:t>
      </w:r>
      <w:r w:rsidR="00A77AA8" w:rsidRPr="00EC50CD">
        <w:rPr>
          <w:b/>
          <w:sz w:val="22"/>
          <w:szCs w:val="22"/>
        </w:rPr>
        <w:t>4</w:t>
      </w:r>
      <w:r w:rsidRPr="00EC50CD">
        <w:rPr>
          <w:b/>
          <w:sz w:val="22"/>
          <w:szCs w:val="22"/>
        </w:rPr>
        <w:t xml:space="preserve"> г.</w:t>
      </w: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  <w:r w:rsidRPr="00EC50CD">
        <w:rPr>
          <w:b/>
          <w:sz w:val="22"/>
          <w:szCs w:val="22"/>
        </w:rPr>
        <w:lastRenderedPageBreak/>
        <w:t>ПРОЕКТНАЯ ДЕКЛАРАЦИЯ</w:t>
      </w:r>
    </w:p>
    <w:p w:rsidR="008D0ED5" w:rsidRPr="00EC50CD" w:rsidRDefault="008D0ED5" w:rsidP="00556724">
      <w:pPr>
        <w:jc w:val="center"/>
        <w:rPr>
          <w:b/>
          <w:sz w:val="22"/>
          <w:szCs w:val="22"/>
        </w:rPr>
      </w:pPr>
      <w:r w:rsidRPr="00EC50CD">
        <w:rPr>
          <w:b/>
          <w:sz w:val="22"/>
          <w:szCs w:val="22"/>
        </w:rPr>
        <w:t xml:space="preserve">на строительство объекта капитального строительства: </w:t>
      </w:r>
    </w:p>
    <w:p w:rsidR="0052046D" w:rsidRDefault="008D0ED5" w:rsidP="00556724">
      <w:pPr>
        <w:jc w:val="center"/>
        <w:rPr>
          <w:b/>
          <w:sz w:val="22"/>
          <w:szCs w:val="22"/>
        </w:rPr>
      </w:pPr>
      <w:r w:rsidRPr="00EC50CD">
        <w:rPr>
          <w:b/>
          <w:sz w:val="22"/>
          <w:szCs w:val="22"/>
        </w:rPr>
        <w:t xml:space="preserve">жилая застройка с объектами социальной инфраструктуры (вторая очередь </w:t>
      </w:r>
      <w:r w:rsidR="00965C5D" w:rsidRPr="00EC50CD">
        <w:rPr>
          <w:b/>
          <w:sz w:val="22"/>
          <w:szCs w:val="22"/>
        </w:rPr>
        <w:t>3</w:t>
      </w:r>
      <w:r w:rsidRPr="00EC50CD">
        <w:rPr>
          <w:b/>
          <w:sz w:val="22"/>
          <w:szCs w:val="22"/>
        </w:rPr>
        <w:t xml:space="preserve"> этап) </w:t>
      </w:r>
    </w:p>
    <w:p w:rsidR="0052046D" w:rsidRDefault="0052046D" w:rsidP="00556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корпуса </w:t>
      </w:r>
      <w:r w:rsidR="000132C1" w:rsidRPr="00EC50CD">
        <w:rPr>
          <w:b/>
          <w:sz w:val="22"/>
          <w:szCs w:val="22"/>
        </w:rPr>
        <w:t>№№</w:t>
      </w:r>
      <w:r w:rsidR="008D0ED5" w:rsidRPr="00EC50CD">
        <w:rPr>
          <w:b/>
          <w:sz w:val="22"/>
          <w:szCs w:val="22"/>
        </w:rPr>
        <w:t xml:space="preserve"> 7, 8, 9, </w:t>
      </w:r>
    </w:p>
    <w:p w:rsidR="008D0ED5" w:rsidRPr="00EC50CD" w:rsidRDefault="008D0ED5" w:rsidP="00556724">
      <w:pPr>
        <w:jc w:val="center"/>
        <w:rPr>
          <w:b/>
          <w:sz w:val="22"/>
          <w:szCs w:val="22"/>
        </w:rPr>
      </w:pPr>
      <w:r w:rsidRPr="00EC50CD">
        <w:rPr>
          <w:b/>
          <w:sz w:val="22"/>
          <w:szCs w:val="22"/>
        </w:rPr>
        <w:t xml:space="preserve">расположенных по адресу: Московская область, г. Балашиха, </w:t>
      </w:r>
      <w:r w:rsidR="00724425" w:rsidRPr="00EC50CD">
        <w:rPr>
          <w:b/>
          <w:sz w:val="22"/>
          <w:szCs w:val="22"/>
        </w:rPr>
        <w:t xml:space="preserve">севернее улицы </w:t>
      </w:r>
      <w:r w:rsidRPr="00EC50CD">
        <w:rPr>
          <w:b/>
          <w:sz w:val="22"/>
          <w:szCs w:val="22"/>
        </w:rPr>
        <w:t>Лукино</w:t>
      </w:r>
    </w:p>
    <w:p w:rsidR="008D0ED5" w:rsidRPr="00EC50CD" w:rsidRDefault="008D0ED5" w:rsidP="00821C88">
      <w:pPr>
        <w:jc w:val="center"/>
        <w:rPr>
          <w:b/>
          <w:sz w:val="22"/>
          <w:szCs w:val="22"/>
        </w:rPr>
      </w:pPr>
    </w:p>
    <w:tbl>
      <w:tblPr>
        <w:tblW w:w="10391" w:type="dxa"/>
        <w:tblInd w:w="-459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Look w:val="01E0"/>
      </w:tblPr>
      <w:tblGrid>
        <w:gridCol w:w="656"/>
        <w:gridCol w:w="3177"/>
        <w:gridCol w:w="6558"/>
      </w:tblGrid>
      <w:tr w:rsidR="00EC50CD" w:rsidRPr="00EC50CD" w:rsidTr="00105B8A">
        <w:trPr>
          <w:trHeight w:val="305"/>
        </w:trPr>
        <w:tc>
          <w:tcPr>
            <w:tcW w:w="10391" w:type="dxa"/>
            <w:gridSpan w:val="3"/>
          </w:tcPr>
          <w:p w:rsidR="008D0ED5" w:rsidRPr="00EC50CD" w:rsidRDefault="008D0ED5" w:rsidP="002248B3">
            <w:pPr>
              <w:jc w:val="center"/>
              <w:rPr>
                <w:b/>
              </w:rPr>
            </w:pPr>
            <w:smartTag w:uri="urn:schemas-microsoft-com:office:smarttags" w:element="place">
              <w:r w:rsidRPr="00EC50CD">
                <w:rPr>
                  <w:b/>
                  <w:sz w:val="22"/>
                  <w:szCs w:val="22"/>
                  <w:lang w:val="en-US"/>
                </w:rPr>
                <w:t>I</w:t>
              </w:r>
              <w:r w:rsidRPr="00EC50CD">
                <w:rPr>
                  <w:b/>
                  <w:sz w:val="22"/>
                  <w:szCs w:val="22"/>
                </w:rPr>
                <w:t>.</w:t>
              </w:r>
            </w:smartTag>
            <w:r w:rsidRPr="00EC50CD">
              <w:rPr>
                <w:b/>
                <w:sz w:val="22"/>
                <w:szCs w:val="22"/>
              </w:rPr>
              <w:t xml:space="preserve"> ИНФОРМАЦИЯ О ЗАСТРОЙЩИКЕ</w:t>
            </w:r>
          </w:p>
        </w:tc>
      </w:tr>
      <w:tr w:rsidR="00EC50CD" w:rsidRPr="00EC50CD" w:rsidTr="00105B8A">
        <w:trPr>
          <w:trHeight w:val="454"/>
        </w:trPr>
        <w:tc>
          <w:tcPr>
            <w:tcW w:w="656" w:type="dxa"/>
          </w:tcPr>
          <w:p w:rsidR="008D0ED5" w:rsidRPr="00EC50CD" w:rsidRDefault="008D0ED5" w:rsidP="00E05F8C">
            <w:pPr>
              <w:numPr>
                <w:ilvl w:val="1"/>
                <w:numId w:val="16"/>
              </w:numPr>
            </w:pPr>
          </w:p>
        </w:tc>
        <w:tc>
          <w:tcPr>
            <w:tcW w:w="3177" w:type="dxa"/>
          </w:tcPr>
          <w:p w:rsidR="008D0ED5" w:rsidRPr="00EC50CD" w:rsidRDefault="008D0ED5" w:rsidP="00E05F8C">
            <w:r w:rsidRPr="00EC50CD">
              <w:rPr>
                <w:sz w:val="22"/>
                <w:szCs w:val="22"/>
              </w:rPr>
              <w:t xml:space="preserve">Фирменное наименование (полное) 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 xml:space="preserve">«Гранель Девелопмент» </w:t>
            </w:r>
          </w:p>
        </w:tc>
      </w:tr>
      <w:tr w:rsidR="00EC50CD" w:rsidRPr="00EC50CD" w:rsidTr="00105B8A">
        <w:trPr>
          <w:trHeight w:val="462"/>
        </w:trPr>
        <w:tc>
          <w:tcPr>
            <w:tcW w:w="656" w:type="dxa"/>
          </w:tcPr>
          <w:p w:rsidR="008D0ED5" w:rsidRPr="00EC50CD" w:rsidRDefault="008D0ED5" w:rsidP="00E05F8C">
            <w:pPr>
              <w:numPr>
                <w:ilvl w:val="1"/>
                <w:numId w:val="16"/>
              </w:numPr>
            </w:pPr>
          </w:p>
        </w:tc>
        <w:tc>
          <w:tcPr>
            <w:tcW w:w="3177" w:type="dxa"/>
          </w:tcPr>
          <w:p w:rsidR="008D0ED5" w:rsidRPr="00EC50CD" w:rsidRDefault="008D0ED5" w:rsidP="00E05F8C">
            <w:r w:rsidRPr="00EC50CD">
              <w:rPr>
                <w:sz w:val="22"/>
                <w:szCs w:val="22"/>
              </w:rPr>
              <w:t>Фирменное наименование (сокращенное)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>ООО «Гранель Девелопмент»</w:t>
            </w:r>
          </w:p>
        </w:tc>
      </w:tr>
      <w:tr w:rsidR="00EC50CD" w:rsidRPr="00EC50CD" w:rsidTr="00105B8A">
        <w:trPr>
          <w:trHeight w:val="277"/>
        </w:trPr>
        <w:tc>
          <w:tcPr>
            <w:tcW w:w="656" w:type="dxa"/>
          </w:tcPr>
          <w:p w:rsidR="002D5B80" w:rsidRPr="00EC50CD" w:rsidRDefault="002D5B80" w:rsidP="0081234F">
            <w:r w:rsidRPr="00EC50CD">
              <w:rPr>
                <w:sz w:val="22"/>
                <w:szCs w:val="22"/>
              </w:rPr>
              <w:t>1.3.</w:t>
            </w:r>
          </w:p>
        </w:tc>
        <w:tc>
          <w:tcPr>
            <w:tcW w:w="3177" w:type="dxa"/>
          </w:tcPr>
          <w:p w:rsidR="002D5B80" w:rsidRPr="00EC50CD" w:rsidRDefault="002D5B80" w:rsidP="0081234F">
            <w:r w:rsidRPr="00EC50CD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558" w:type="dxa"/>
            <w:vAlign w:val="center"/>
          </w:tcPr>
          <w:p w:rsidR="002D5B80" w:rsidRPr="00EC50CD" w:rsidRDefault="002D5B80" w:rsidP="00A61BBC">
            <w:pPr>
              <w:jc w:val="both"/>
            </w:pPr>
            <w:r w:rsidRPr="00EC50CD">
              <w:rPr>
                <w:sz w:val="22"/>
                <w:szCs w:val="22"/>
              </w:rPr>
              <w:t>125009, г. Москва, ул. Тверская, д.22/2, корп.1</w:t>
            </w:r>
          </w:p>
        </w:tc>
      </w:tr>
      <w:tr w:rsidR="00EC50CD" w:rsidRPr="00EC50CD" w:rsidTr="00105B8A">
        <w:trPr>
          <w:trHeight w:val="343"/>
        </w:trPr>
        <w:tc>
          <w:tcPr>
            <w:tcW w:w="656" w:type="dxa"/>
          </w:tcPr>
          <w:p w:rsidR="008D0ED5" w:rsidRPr="00EC50CD" w:rsidRDefault="008D0ED5" w:rsidP="0081234F"/>
        </w:tc>
        <w:tc>
          <w:tcPr>
            <w:tcW w:w="3177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7F481E">
            <w:pPr>
              <w:jc w:val="both"/>
            </w:pPr>
            <w:r w:rsidRPr="00EC50CD">
              <w:rPr>
                <w:sz w:val="22"/>
                <w:szCs w:val="22"/>
              </w:rPr>
              <w:t>125009</w:t>
            </w:r>
            <w:r w:rsidR="007F481E" w:rsidRPr="00EC50CD">
              <w:rPr>
                <w:sz w:val="22"/>
                <w:szCs w:val="22"/>
              </w:rPr>
              <w:t>,</w:t>
            </w:r>
            <w:r w:rsidRPr="00EC50CD">
              <w:rPr>
                <w:sz w:val="22"/>
                <w:szCs w:val="22"/>
              </w:rPr>
              <w:t xml:space="preserve"> г. Москва, ул. Тверская, д.22/2, </w:t>
            </w:r>
            <w:r w:rsidR="007F481E" w:rsidRPr="00EC50CD">
              <w:rPr>
                <w:sz w:val="22"/>
                <w:szCs w:val="22"/>
              </w:rPr>
              <w:t>корп</w:t>
            </w:r>
            <w:r w:rsidRPr="00EC50CD">
              <w:rPr>
                <w:sz w:val="22"/>
                <w:szCs w:val="22"/>
              </w:rPr>
              <w:t>.1</w:t>
            </w:r>
          </w:p>
        </w:tc>
      </w:tr>
      <w:tr w:rsidR="00EC50CD" w:rsidRPr="00E0430E" w:rsidTr="00105B8A">
        <w:trPr>
          <w:trHeight w:val="479"/>
        </w:trPr>
        <w:tc>
          <w:tcPr>
            <w:tcW w:w="656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1.4.</w:t>
            </w:r>
          </w:p>
        </w:tc>
        <w:tc>
          <w:tcPr>
            <w:tcW w:w="3177" w:type="dxa"/>
          </w:tcPr>
          <w:p w:rsidR="008D0ED5" w:rsidRPr="00EC50CD" w:rsidRDefault="008D0ED5" w:rsidP="004221DD">
            <w:r w:rsidRPr="00EC50CD">
              <w:rPr>
                <w:sz w:val="22"/>
                <w:szCs w:val="22"/>
              </w:rPr>
              <w:t>Режим работы застройщика, контактная информация:</w:t>
            </w:r>
          </w:p>
        </w:tc>
        <w:tc>
          <w:tcPr>
            <w:tcW w:w="6558" w:type="dxa"/>
            <w:vAlign w:val="center"/>
          </w:tcPr>
          <w:p w:rsidR="007B1B81" w:rsidRPr="003B716A" w:rsidRDefault="007B1B81" w:rsidP="007B1B81">
            <w:pPr>
              <w:jc w:val="both"/>
            </w:pPr>
            <w:r w:rsidRPr="003B716A">
              <w:rPr>
                <w:sz w:val="22"/>
                <w:szCs w:val="22"/>
              </w:rPr>
              <w:t>с 9-00 до 21-00 ежедневно, кроме</w:t>
            </w:r>
            <w:r>
              <w:rPr>
                <w:sz w:val="22"/>
                <w:szCs w:val="22"/>
              </w:rPr>
              <w:t xml:space="preserve"> воскресенья</w:t>
            </w:r>
          </w:p>
          <w:p w:rsidR="007B1B81" w:rsidRPr="003B716A" w:rsidRDefault="007B1B81" w:rsidP="007B1B81">
            <w:pPr>
              <w:jc w:val="both"/>
            </w:pPr>
            <w:r>
              <w:rPr>
                <w:sz w:val="22"/>
                <w:szCs w:val="22"/>
              </w:rPr>
              <w:t>о</w:t>
            </w:r>
            <w:r w:rsidRPr="003B716A">
              <w:rPr>
                <w:sz w:val="22"/>
                <w:szCs w:val="22"/>
              </w:rPr>
              <w:t>бед с 13-00 до 14-00</w:t>
            </w:r>
          </w:p>
          <w:p w:rsidR="007B1B81" w:rsidRPr="003B716A" w:rsidRDefault="007B1B81" w:rsidP="007B1B81">
            <w:pPr>
              <w:jc w:val="both"/>
            </w:pPr>
            <w:r w:rsidRPr="003B716A">
              <w:rPr>
                <w:sz w:val="22"/>
                <w:szCs w:val="22"/>
              </w:rPr>
              <w:t>Тел./факс (495) 980-03-80</w:t>
            </w:r>
          </w:p>
          <w:p w:rsidR="007B1B81" w:rsidRPr="003B716A" w:rsidRDefault="007B1B81" w:rsidP="007B1B81">
            <w:pPr>
              <w:jc w:val="both"/>
            </w:pPr>
            <w:r w:rsidRPr="003B716A">
              <w:rPr>
                <w:sz w:val="22"/>
                <w:szCs w:val="22"/>
                <w:lang w:val="en-US"/>
              </w:rPr>
              <w:t>Email</w:t>
            </w:r>
            <w:r w:rsidRPr="003B716A">
              <w:rPr>
                <w:sz w:val="22"/>
                <w:szCs w:val="22"/>
              </w:rPr>
              <w:t xml:space="preserve">: </w:t>
            </w:r>
            <w:r w:rsidRPr="003B716A">
              <w:rPr>
                <w:sz w:val="22"/>
                <w:szCs w:val="22"/>
                <w:lang w:val="en-US"/>
              </w:rPr>
              <w:t>info</w:t>
            </w:r>
            <w:r w:rsidRPr="003B716A">
              <w:rPr>
                <w:sz w:val="22"/>
                <w:szCs w:val="22"/>
              </w:rPr>
              <w:t>@</w:t>
            </w:r>
            <w:r w:rsidRPr="003B716A">
              <w:rPr>
                <w:sz w:val="22"/>
                <w:szCs w:val="22"/>
                <w:lang w:val="en-US"/>
              </w:rPr>
              <w:t>granelle</w:t>
            </w:r>
            <w:r w:rsidRPr="003B716A">
              <w:rPr>
                <w:sz w:val="22"/>
                <w:szCs w:val="22"/>
              </w:rPr>
              <w:t>.</w:t>
            </w:r>
            <w:r w:rsidRPr="003B716A">
              <w:rPr>
                <w:sz w:val="22"/>
                <w:szCs w:val="22"/>
                <w:lang w:val="en-US"/>
              </w:rPr>
              <w:t>com</w:t>
            </w:r>
          </w:p>
          <w:p w:rsidR="008D0ED5" w:rsidRPr="0061256D" w:rsidRDefault="007B1B81" w:rsidP="007B1B81">
            <w:pPr>
              <w:jc w:val="both"/>
            </w:pPr>
            <w:r w:rsidRPr="003B716A">
              <w:rPr>
                <w:sz w:val="22"/>
                <w:szCs w:val="22"/>
              </w:rPr>
              <w:t xml:space="preserve">Интернет сайт: </w:t>
            </w:r>
            <w:hyperlink r:id="rId7" w:history="1">
              <w:r w:rsidRPr="003B716A">
                <w:rPr>
                  <w:rStyle w:val="ad"/>
                  <w:sz w:val="22"/>
                  <w:szCs w:val="22"/>
                  <w:lang w:val="en-US"/>
                </w:rPr>
                <w:t>www</w:t>
              </w:r>
              <w:r w:rsidRPr="003B716A">
                <w:rPr>
                  <w:rStyle w:val="ad"/>
                  <w:sz w:val="22"/>
                  <w:szCs w:val="22"/>
                </w:rPr>
                <w:t>.</w:t>
              </w:r>
              <w:r w:rsidRPr="003B716A">
                <w:rPr>
                  <w:rStyle w:val="ad"/>
                  <w:sz w:val="22"/>
                  <w:szCs w:val="22"/>
                  <w:lang w:val="en-US"/>
                </w:rPr>
                <w:t>granelle</w:t>
              </w:r>
              <w:r w:rsidRPr="003B716A">
                <w:rPr>
                  <w:rStyle w:val="ad"/>
                  <w:sz w:val="22"/>
                  <w:szCs w:val="22"/>
                </w:rPr>
                <w:t>.</w:t>
              </w:r>
              <w:r w:rsidRPr="003B716A">
                <w:rPr>
                  <w:rStyle w:val="ad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EC50CD" w:rsidRPr="00EC50CD" w:rsidTr="00105B8A">
        <w:trPr>
          <w:trHeight w:val="1740"/>
        </w:trPr>
        <w:tc>
          <w:tcPr>
            <w:tcW w:w="656" w:type="dxa"/>
          </w:tcPr>
          <w:p w:rsidR="008D0ED5" w:rsidRPr="00EC50CD" w:rsidRDefault="008D0ED5" w:rsidP="0081234F">
            <w:pPr>
              <w:rPr>
                <w:lang w:val="en-US"/>
              </w:rPr>
            </w:pPr>
            <w:r w:rsidRPr="00EC50CD">
              <w:rPr>
                <w:sz w:val="22"/>
                <w:szCs w:val="22"/>
                <w:lang w:val="en-US"/>
              </w:rPr>
              <w:t>1.5.</w:t>
            </w:r>
          </w:p>
        </w:tc>
        <w:tc>
          <w:tcPr>
            <w:tcW w:w="3177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Информация о государственной регистрации застройщика.</w:t>
            </w:r>
          </w:p>
        </w:tc>
        <w:tc>
          <w:tcPr>
            <w:tcW w:w="6558" w:type="dxa"/>
            <w:vAlign w:val="center"/>
          </w:tcPr>
          <w:p w:rsidR="007B1B81" w:rsidRPr="0059381E" w:rsidRDefault="007B1B81" w:rsidP="007B1B81">
            <w:pPr>
              <w:jc w:val="both"/>
            </w:pPr>
            <w:r w:rsidRPr="0059381E">
              <w:rPr>
                <w:sz w:val="22"/>
                <w:szCs w:val="22"/>
              </w:rPr>
              <w:t xml:space="preserve">Свидетельство о государственной регистрации юридического лица серия 77 № 012967538 от 30 августа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9381E">
                <w:rPr>
                  <w:sz w:val="22"/>
                  <w:szCs w:val="22"/>
                </w:rPr>
                <w:t>2010 г</w:t>
              </w:r>
            </w:smartTag>
            <w:r w:rsidRPr="0059381E">
              <w:rPr>
                <w:sz w:val="22"/>
                <w:szCs w:val="22"/>
              </w:rPr>
              <w:t xml:space="preserve">. </w:t>
            </w:r>
          </w:p>
          <w:p w:rsidR="007B1B81" w:rsidRPr="0059381E" w:rsidRDefault="007B1B81" w:rsidP="007B1B81">
            <w:pPr>
              <w:jc w:val="both"/>
            </w:pPr>
            <w:r>
              <w:rPr>
                <w:sz w:val="22"/>
                <w:szCs w:val="22"/>
              </w:rPr>
              <w:t>ОГРН</w:t>
            </w:r>
            <w:r w:rsidRPr="0059381E">
              <w:rPr>
                <w:sz w:val="22"/>
                <w:szCs w:val="22"/>
              </w:rPr>
              <w:t xml:space="preserve"> 1107746704757</w:t>
            </w:r>
          </w:p>
          <w:p w:rsidR="008D0ED5" w:rsidRPr="00EC50CD" w:rsidRDefault="007B1B81" w:rsidP="007B1B81">
            <w:pPr>
              <w:jc w:val="both"/>
            </w:pPr>
            <w:r w:rsidRPr="0059381E">
              <w:rPr>
                <w:sz w:val="22"/>
                <w:szCs w:val="22"/>
              </w:rPr>
              <w:t>Орган, осуществивший государственную регистрацию: Межрайонной инспекцией Федеральной налоговой службы № 46 по г. Москве</w:t>
            </w:r>
          </w:p>
        </w:tc>
      </w:tr>
      <w:tr w:rsidR="00EC50CD" w:rsidRPr="00EC50CD" w:rsidTr="00105B8A">
        <w:trPr>
          <w:trHeight w:val="1016"/>
        </w:trPr>
        <w:tc>
          <w:tcPr>
            <w:tcW w:w="656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1.6.</w:t>
            </w:r>
          </w:p>
        </w:tc>
        <w:tc>
          <w:tcPr>
            <w:tcW w:w="3177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Информация об учредителях (участниках) застройщика.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>Учредители (участники):</w:t>
            </w:r>
          </w:p>
          <w:p w:rsidR="00A77AA8" w:rsidRPr="00EC50CD" w:rsidRDefault="00A77AA8" w:rsidP="00A77AA8">
            <w:pPr>
              <w:numPr>
                <w:ilvl w:val="0"/>
                <w:numId w:val="18"/>
              </w:numPr>
              <w:tabs>
                <w:tab w:val="left" w:pos="196"/>
                <w:tab w:val="left" w:pos="477"/>
              </w:tabs>
              <w:jc w:val="both"/>
            </w:pPr>
            <w:r w:rsidRPr="00EC50CD">
              <w:rPr>
                <w:sz w:val="22"/>
                <w:szCs w:val="22"/>
              </w:rPr>
              <w:t xml:space="preserve">   Назарова Лариса Геннадьевна – 66% голосов</w:t>
            </w:r>
          </w:p>
          <w:p w:rsidR="00A77AA8" w:rsidRPr="00EC50CD" w:rsidRDefault="00A77AA8" w:rsidP="00A77AA8">
            <w:pPr>
              <w:numPr>
                <w:ilvl w:val="0"/>
                <w:numId w:val="18"/>
              </w:numPr>
              <w:tabs>
                <w:tab w:val="left" w:pos="196"/>
                <w:tab w:val="left" w:pos="477"/>
              </w:tabs>
              <w:jc w:val="both"/>
            </w:pPr>
            <w:r w:rsidRPr="00EC50CD">
              <w:rPr>
                <w:sz w:val="22"/>
                <w:szCs w:val="22"/>
              </w:rPr>
              <w:t xml:space="preserve">   Нигматуллина Светлана Геннадьевна – 19% голосов</w:t>
            </w:r>
          </w:p>
          <w:p w:rsidR="00A77AA8" w:rsidRPr="00EC50CD" w:rsidRDefault="00A77AA8" w:rsidP="00A77AA8">
            <w:pPr>
              <w:numPr>
                <w:ilvl w:val="0"/>
                <w:numId w:val="18"/>
              </w:numPr>
              <w:tabs>
                <w:tab w:val="left" w:pos="196"/>
                <w:tab w:val="left" w:pos="477"/>
              </w:tabs>
              <w:jc w:val="both"/>
            </w:pPr>
            <w:r w:rsidRPr="00EC50CD">
              <w:rPr>
                <w:sz w:val="22"/>
                <w:szCs w:val="22"/>
              </w:rPr>
              <w:t xml:space="preserve">   Чистяков Юрий Викторович - 10% голосов</w:t>
            </w:r>
          </w:p>
          <w:p w:rsidR="008D0ED5" w:rsidRPr="00EC50CD" w:rsidRDefault="00A77AA8" w:rsidP="00A77AA8">
            <w:pPr>
              <w:numPr>
                <w:ilvl w:val="0"/>
                <w:numId w:val="18"/>
              </w:numPr>
              <w:tabs>
                <w:tab w:val="left" w:pos="42"/>
                <w:tab w:val="left" w:pos="477"/>
              </w:tabs>
              <w:jc w:val="both"/>
            </w:pPr>
            <w:r w:rsidRPr="00EC50CD">
              <w:rPr>
                <w:sz w:val="22"/>
                <w:szCs w:val="22"/>
              </w:rPr>
              <w:t xml:space="preserve">   Цвет Андрей Леонидович – 5% голосов</w:t>
            </w:r>
          </w:p>
        </w:tc>
      </w:tr>
      <w:tr w:rsidR="00EC50CD" w:rsidRPr="00EC50CD" w:rsidTr="00617A3B">
        <w:trPr>
          <w:trHeight w:val="1955"/>
        </w:trPr>
        <w:tc>
          <w:tcPr>
            <w:tcW w:w="656" w:type="dxa"/>
          </w:tcPr>
          <w:p w:rsidR="008D0ED5" w:rsidRPr="00EC50CD" w:rsidRDefault="008D0ED5" w:rsidP="00D34EA7">
            <w:r w:rsidRPr="00EC50CD">
              <w:rPr>
                <w:sz w:val="22"/>
                <w:szCs w:val="22"/>
              </w:rPr>
              <w:t>1.7.</w:t>
            </w:r>
          </w:p>
        </w:tc>
        <w:tc>
          <w:tcPr>
            <w:tcW w:w="3177" w:type="dxa"/>
          </w:tcPr>
          <w:p w:rsidR="008D0ED5" w:rsidRPr="00EC50CD" w:rsidRDefault="008D0ED5" w:rsidP="00D34EA7">
            <w:r w:rsidRPr="00EC50CD">
              <w:rPr>
                <w:sz w:val="22"/>
                <w:szCs w:val="22"/>
              </w:rPr>
              <w:t>Информация о проектах строительства многоквартирных домов и (или) иных объектов недвижимости,  в которых принимал участие застройщик в течение трех лет, предшествующих опубликованию проектной декларации</w:t>
            </w:r>
          </w:p>
        </w:tc>
        <w:tc>
          <w:tcPr>
            <w:tcW w:w="6558" w:type="dxa"/>
            <w:vAlign w:val="center"/>
          </w:tcPr>
          <w:p w:rsidR="0061256D" w:rsidRPr="003B716A" w:rsidRDefault="0061256D" w:rsidP="0061256D">
            <w:pPr>
              <w:numPr>
                <w:ilvl w:val="0"/>
                <w:numId w:val="19"/>
              </w:numPr>
              <w:tabs>
                <w:tab w:val="left" w:pos="485"/>
                <w:tab w:val="left" w:pos="518"/>
              </w:tabs>
              <w:ind w:left="93" w:firstLine="0"/>
              <w:jc w:val="both"/>
            </w:pPr>
            <w:r w:rsidRPr="003B716A">
              <w:rPr>
                <w:sz w:val="22"/>
                <w:szCs w:val="22"/>
              </w:rPr>
              <w:t xml:space="preserve">Строительство многоэтажного жилого комплекса, расположенного по адресу: Москва, п. «Мосрентген», пос. завода Мосрентген, 35. </w:t>
            </w:r>
            <w:r w:rsidRPr="003B716A">
              <w:rPr>
                <w:i/>
                <w:sz w:val="22"/>
                <w:szCs w:val="22"/>
              </w:rPr>
              <w:t>Получено Разрешение на ввод объекта в эксплуатацию № RU77240000-005044 от 31.07.2013г., выдано Комитетом государственного строительного надзора города Москвы.</w:t>
            </w:r>
          </w:p>
          <w:p w:rsidR="0061256D" w:rsidRPr="003B716A" w:rsidRDefault="0061256D" w:rsidP="0061256D">
            <w:pPr>
              <w:numPr>
                <w:ilvl w:val="0"/>
                <w:numId w:val="19"/>
              </w:numPr>
              <w:tabs>
                <w:tab w:val="left" w:pos="518"/>
              </w:tabs>
              <w:ind w:left="93" w:firstLine="0"/>
              <w:jc w:val="both"/>
            </w:pPr>
            <w:r w:rsidRPr="003B716A">
              <w:rPr>
                <w:sz w:val="22"/>
                <w:szCs w:val="22"/>
              </w:rPr>
              <w:t>Строительство многоэтажных жилых  домов по адресу: Московская область, г. Балашиха,  Балашихинское ш., дома 10- 12, корп. №1, корп. №2, корп. №5.</w:t>
            </w:r>
            <w:r w:rsidRPr="003B716A">
              <w:rPr>
                <w:i/>
                <w:sz w:val="22"/>
                <w:szCs w:val="22"/>
              </w:rPr>
              <w:t xml:space="preserve"> Получено Разрешение на ввод объекта в эксплуатацию №RU50315000-22 от 26.03.2013 г.,  выдано Администрации городского округа Балашиха Московской области.</w:t>
            </w:r>
          </w:p>
          <w:p w:rsidR="0061256D" w:rsidRPr="003B716A" w:rsidRDefault="0061256D" w:rsidP="0061256D">
            <w:pPr>
              <w:numPr>
                <w:ilvl w:val="0"/>
                <w:numId w:val="19"/>
              </w:numPr>
              <w:tabs>
                <w:tab w:val="left" w:pos="518"/>
              </w:tabs>
              <w:ind w:left="93" w:firstLine="0"/>
              <w:jc w:val="both"/>
            </w:pPr>
            <w:r w:rsidRPr="003B716A">
              <w:rPr>
                <w:sz w:val="22"/>
                <w:szCs w:val="22"/>
              </w:rPr>
              <w:t xml:space="preserve">Строительство многоэтажных жилых  домов по адресу: Московская область, г. Балашиха,  Балашихинское ш., дома 10- 12, корп. №3, корп. №4. </w:t>
            </w:r>
            <w:r w:rsidRPr="003B716A">
              <w:rPr>
                <w:i/>
                <w:sz w:val="22"/>
                <w:szCs w:val="22"/>
              </w:rPr>
              <w:t>Получено Разрешение на ввод объекта в эксплуатацию №RU50315000-58 от 28.06.2013 г.,  выдано Администрацией городского округа Балашиха Московской области.</w:t>
            </w:r>
          </w:p>
          <w:p w:rsidR="0061256D" w:rsidRPr="003B716A" w:rsidRDefault="0061256D" w:rsidP="0061256D">
            <w:pPr>
              <w:numPr>
                <w:ilvl w:val="0"/>
                <w:numId w:val="19"/>
              </w:numPr>
              <w:tabs>
                <w:tab w:val="left" w:pos="518"/>
              </w:tabs>
              <w:ind w:left="93" w:firstLine="0"/>
              <w:jc w:val="both"/>
            </w:pPr>
            <w:r w:rsidRPr="003B716A">
              <w:rPr>
                <w:sz w:val="22"/>
                <w:szCs w:val="22"/>
              </w:rPr>
              <w:t>Строительство многоэтажных жилых  домов по адресу: Московская область, г. Балашиха, мкр. 16 (им. Гагарина), корп. 20/1 и корп. 20/2.</w:t>
            </w:r>
          </w:p>
          <w:p w:rsidR="0061256D" w:rsidRPr="003B716A" w:rsidRDefault="0061256D" w:rsidP="0061256D">
            <w:pPr>
              <w:numPr>
                <w:ilvl w:val="0"/>
                <w:numId w:val="25"/>
              </w:numPr>
              <w:tabs>
                <w:tab w:val="left" w:pos="518"/>
              </w:tabs>
              <w:ind w:left="93" w:firstLine="0"/>
              <w:jc w:val="both"/>
            </w:pPr>
            <w:r w:rsidRPr="003B716A">
              <w:rPr>
                <w:sz w:val="22"/>
                <w:szCs w:val="22"/>
              </w:rPr>
              <w:t xml:space="preserve">Строительство многоэтажных жилых домов по адресу: Московская область, г. Балашиха, севернее улицы Лукино, корп. №№ </w:t>
            </w:r>
            <w:r>
              <w:rPr>
                <w:sz w:val="22"/>
                <w:szCs w:val="22"/>
              </w:rPr>
              <w:t>1, 2, 3, 4, 5, 6</w:t>
            </w:r>
          </w:p>
          <w:p w:rsidR="0061256D" w:rsidRPr="003B716A" w:rsidRDefault="0061256D" w:rsidP="0061256D">
            <w:pPr>
              <w:numPr>
                <w:ilvl w:val="0"/>
                <w:numId w:val="25"/>
              </w:numPr>
              <w:tabs>
                <w:tab w:val="left" w:pos="518"/>
              </w:tabs>
              <w:ind w:left="93" w:firstLine="0"/>
              <w:jc w:val="both"/>
            </w:pPr>
            <w:r w:rsidRPr="003B716A">
              <w:rPr>
                <w:sz w:val="22"/>
                <w:szCs w:val="22"/>
              </w:rPr>
              <w:lastRenderedPageBreak/>
              <w:t xml:space="preserve">Строительство многоэтажных жилых домов по адресу: Московская область, г. Балашиха, севернее улицы Лукино, корп. №№ 10, 13, 14. </w:t>
            </w:r>
          </w:p>
          <w:p w:rsidR="0061256D" w:rsidRPr="003B716A" w:rsidRDefault="0061256D" w:rsidP="0061256D">
            <w:pPr>
              <w:numPr>
                <w:ilvl w:val="0"/>
                <w:numId w:val="25"/>
              </w:numPr>
              <w:tabs>
                <w:tab w:val="left" w:pos="518"/>
              </w:tabs>
              <w:ind w:left="93" w:firstLine="0"/>
              <w:jc w:val="both"/>
            </w:pPr>
            <w:r w:rsidRPr="003B716A">
              <w:rPr>
                <w:sz w:val="22"/>
                <w:szCs w:val="22"/>
              </w:rPr>
              <w:t>Строительство многоэтажных жилых домов по адресу: Московская область, г. Балашиха, севернее улицы Лукино, корп. №№ 11, 12, 15.</w:t>
            </w:r>
          </w:p>
          <w:p w:rsidR="005D6ED3" w:rsidRPr="00EC50CD" w:rsidRDefault="0061256D" w:rsidP="0061256D">
            <w:pPr>
              <w:tabs>
                <w:tab w:val="left" w:pos="518"/>
              </w:tabs>
              <w:ind w:left="93"/>
              <w:jc w:val="both"/>
              <w:rPr>
                <w:i/>
              </w:rPr>
            </w:pPr>
            <w:r w:rsidRPr="003B716A">
              <w:rPr>
                <w:sz w:val="22"/>
                <w:szCs w:val="22"/>
              </w:rPr>
              <w:t>Строительство жилых домов №№ 1, 2, 3, 4,5, 6, 7, 8, 9, 10, 11, 12, 13, 14, 15, 16, 17</w:t>
            </w:r>
            <w:r>
              <w:rPr>
                <w:sz w:val="22"/>
                <w:szCs w:val="22"/>
              </w:rPr>
              <w:t>, 18, 19, 20, 21, 22, 23</w:t>
            </w:r>
            <w:r w:rsidRPr="003B716A">
              <w:rPr>
                <w:sz w:val="22"/>
                <w:szCs w:val="22"/>
              </w:rPr>
              <w:t xml:space="preserve"> по строительному адресу: Московская область, город Королёв, улица Горького, дом 79, корпуса 1, 2, 3, 4,5, 6, 7, 8, 9, 10, 11, 12, 13, 14, 15, 16, 17</w:t>
            </w:r>
            <w:r>
              <w:rPr>
                <w:sz w:val="22"/>
                <w:szCs w:val="22"/>
              </w:rPr>
              <w:t>, 18, 19, 20, 21, 22, 23</w:t>
            </w:r>
          </w:p>
        </w:tc>
      </w:tr>
      <w:tr w:rsidR="00EC50CD" w:rsidRPr="00EC50CD" w:rsidTr="00105B8A">
        <w:trPr>
          <w:trHeight w:val="1317"/>
        </w:trPr>
        <w:tc>
          <w:tcPr>
            <w:tcW w:w="656" w:type="dxa"/>
          </w:tcPr>
          <w:p w:rsidR="008D0ED5" w:rsidRPr="00EC50CD" w:rsidRDefault="008D0ED5" w:rsidP="0014774D">
            <w:r w:rsidRPr="00EC50CD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177" w:type="dxa"/>
          </w:tcPr>
          <w:p w:rsidR="008D0ED5" w:rsidRPr="00EC50CD" w:rsidRDefault="008D0ED5" w:rsidP="0014774D">
            <w:r w:rsidRPr="00EC50CD">
              <w:rPr>
                <w:sz w:val="22"/>
                <w:szCs w:val="22"/>
              </w:rPr>
              <w:t>Информация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>ООО «Гранель Девелопмент» не осуществляет виды деятельности, подлежащие лицензированию</w:t>
            </w:r>
          </w:p>
        </w:tc>
      </w:tr>
      <w:tr w:rsidR="00EC50CD" w:rsidRPr="00EC50CD" w:rsidTr="00105B8A">
        <w:trPr>
          <w:trHeight w:val="1575"/>
        </w:trPr>
        <w:tc>
          <w:tcPr>
            <w:tcW w:w="656" w:type="dxa"/>
          </w:tcPr>
          <w:p w:rsidR="008D0ED5" w:rsidRPr="00EC50CD" w:rsidRDefault="008D0ED5" w:rsidP="00D34EA7">
            <w:r w:rsidRPr="00EC50CD">
              <w:rPr>
                <w:sz w:val="22"/>
                <w:szCs w:val="22"/>
              </w:rPr>
              <w:t>1.9.</w:t>
            </w:r>
          </w:p>
        </w:tc>
        <w:tc>
          <w:tcPr>
            <w:tcW w:w="3177" w:type="dxa"/>
          </w:tcPr>
          <w:p w:rsidR="008D0ED5" w:rsidRPr="00EC50CD" w:rsidRDefault="008D0ED5" w:rsidP="00207B0B">
            <w:r w:rsidRPr="00EC50CD">
              <w:rPr>
                <w:sz w:val="22"/>
                <w:szCs w:val="22"/>
              </w:rPr>
              <w:t>Информация о финансовом результате текущего года, размерах кредиторской и дебиторской задолженности на день опубликования проектной декларации</w:t>
            </w:r>
          </w:p>
        </w:tc>
        <w:tc>
          <w:tcPr>
            <w:tcW w:w="6558" w:type="dxa"/>
            <w:vAlign w:val="center"/>
          </w:tcPr>
          <w:p w:rsidR="000F2C0A" w:rsidRDefault="000F2C0A" w:rsidP="000F2C0A">
            <w:pPr>
              <w:autoSpaceDE w:val="0"/>
              <w:autoSpaceDN w:val="0"/>
              <w:adjustRightInd w:val="0"/>
            </w:pPr>
            <w:r>
              <w:t>По итогам за II квартал 2014 года:</w:t>
            </w:r>
          </w:p>
          <w:p w:rsidR="000F2C0A" w:rsidRDefault="000F2C0A" w:rsidP="000F2C0A">
            <w:pPr>
              <w:autoSpaceDE w:val="0"/>
              <w:autoSpaceDN w:val="0"/>
              <w:adjustRightInd w:val="0"/>
            </w:pPr>
            <w:r>
              <w:t>Кредиторская задолженность – 2 086 661 тыс. руб.</w:t>
            </w:r>
          </w:p>
          <w:p w:rsidR="000F2C0A" w:rsidRDefault="000F2C0A" w:rsidP="000F2C0A">
            <w:pPr>
              <w:autoSpaceDE w:val="0"/>
              <w:autoSpaceDN w:val="0"/>
              <w:adjustRightInd w:val="0"/>
            </w:pPr>
            <w:r>
              <w:t>Дебиторская задолженность – 3 852 192 тыс. руб.</w:t>
            </w:r>
          </w:p>
          <w:p w:rsidR="008D0ED5" w:rsidRPr="00EC50CD" w:rsidRDefault="000F2C0A" w:rsidP="000F2C0A">
            <w:pPr>
              <w:jc w:val="both"/>
            </w:pPr>
            <w:r>
              <w:t>Финансовый результат за II квартал 2014 года – 21 569 тыс. руб.</w:t>
            </w:r>
          </w:p>
        </w:tc>
      </w:tr>
      <w:tr w:rsidR="00EC50CD" w:rsidRPr="00EC50CD" w:rsidTr="00105B8A">
        <w:trPr>
          <w:trHeight w:val="144"/>
        </w:trPr>
        <w:tc>
          <w:tcPr>
            <w:tcW w:w="10391" w:type="dxa"/>
            <w:gridSpan w:val="3"/>
          </w:tcPr>
          <w:p w:rsidR="00105B8A" w:rsidRPr="00EC50CD" w:rsidRDefault="00105B8A" w:rsidP="00644E1D">
            <w:pPr>
              <w:jc w:val="center"/>
              <w:rPr>
                <w:b/>
              </w:rPr>
            </w:pPr>
          </w:p>
          <w:p w:rsidR="008D0ED5" w:rsidRPr="00EC50CD" w:rsidRDefault="008D0ED5" w:rsidP="00644E1D">
            <w:pPr>
              <w:jc w:val="center"/>
              <w:rPr>
                <w:b/>
              </w:rPr>
            </w:pPr>
            <w:r w:rsidRPr="00EC50CD">
              <w:rPr>
                <w:b/>
                <w:sz w:val="22"/>
                <w:szCs w:val="22"/>
                <w:lang w:val="en-US"/>
              </w:rPr>
              <w:t>II</w:t>
            </w:r>
            <w:r w:rsidRPr="00EC50CD">
              <w:rPr>
                <w:b/>
                <w:sz w:val="22"/>
                <w:szCs w:val="22"/>
              </w:rPr>
              <w:t>. ИНФОРМАЦИЯ О ПРОЕКТЕ СТРОИТЕЛЬСТВА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14774D">
            <w:r w:rsidRPr="00EC50CD">
              <w:rPr>
                <w:sz w:val="22"/>
                <w:szCs w:val="22"/>
              </w:rPr>
              <w:t>2.1.</w:t>
            </w:r>
          </w:p>
        </w:tc>
        <w:tc>
          <w:tcPr>
            <w:tcW w:w="3177" w:type="dxa"/>
          </w:tcPr>
          <w:p w:rsidR="008D0ED5" w:rsidRPr="00EC50CD" w:rsidRDefault="008D0ED5" w:rsidP="00555C1D">
            <w:r w:rsidRPr="00EC50CD">
              <w:rPr>
                <w:sz w:val="22"/>
                <w:szCs w:val="22"/>
              </w:rPr>
              <w:t>Информация о цели проекта строительства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>Строительство многоэтажных жилых домов корпус 7, корпус 8, корпус 9, по адресу: Московская область, г. Балашиха, севернее  улицы  Лукино</w:t>
            </w:r>
          </w:p>
        </w:tc>
      </w:tr>
      <w:tr w:rsidR="00EC50CD" w:rsidRPr="00EC50CD" w:rsidTr="00105B8A">
        <w:trPr>
          <w:trHeight w:val="468"/>
        </w:trPr>
        <w:tc>
          <w:tcPr>
            <w:tcW w:w="656" w:type="dxa"/>
          </w:tcPr>
          <w:p w:rsidR="008D0ED5" w:rsidRPr="00EC50CD" w:rsidRDefault="008D0ED5" w:rsidP="0014774D">
            <w:r w:rsidRPr="00EC50CD">
              <w:rPr>
                <w:sz w:val="22"/>
                <w:szCs w:val="22"/>
              </w:rPr>
              <w:t>2.2.</w:t>
            </w:r>
          </w:p>
        </w:tc>
        <w:tc>
          <w:tcPr>
            <w:tcW w:w="3177" w:type="dxa"/>
          </w:tcPr>
          <w:p w:rsidR="008D0ED5" w:rsidRPr="00EC50CD" w:rsidRDefault="008D0ED5" w:rsidP="00555C1D">
            <w:r w:rsidRPr="00EC50CD">
              <w:t>Информация об этапах и сроках реализации строительства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 xml:space="preserve">Начало строительства: </w:t>
            </w:r>
            <w:r w:rsidRPr="00EC50CD">
              <w:rPr>
                <w:sz w:val="22"/>
                <w:szCs w:val="22"/>
                <w:lang w:val="en-US"/>
              </w:rPr>
              <w:t>II</w:t>
            </w:r>
            <w:r w:rsidRPr="00EC50CD">
              <w:rPr>
                <w:sz w:val="22"/>
                <w:szCs w:val="2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99223,46 куб. м"/>
              </w:smartTagPr>
              <w:r w:rsidRPr="00EC50CD">
                <w:rPr>
                  <w:sz w:val="22"/>
                  <w:szCs w:val="22"/>
                </w:rPr>
                <w:t>2013 г</w:t>
              </w:r>
            </w:smartTag>
            <w:r w:rsidRPr="00EC50CD">
              <w:rPr>
                <w:sz w:val="22"/>
                <w:szCs w:val="22"/>
              </w:rPr>
              <w:t>.</w:t>
            </w:r>
          </w:p>
          <w:p w:rsidR="008D0ED5" w:rsidRDefault="008D0ED5" w:rsidP="00105B8A">
            <w:pPr>
              <w:tabs>
                <w:tab w:val="left" w:pos="4530"/>
              </w:tabs>
              <w:jc w:val="both"/>
            </w:pPr>
            <w:r w:rsidRPr="00EC50CD">
              <w:rPr>
                <w:sz w:val="22"/>
                <w:szCs w:val="22"/>
              </w:rPr>
              <w:t xml:space="preserve">Окончание строительства: </w:t>
            </w:r>
            <w:r w:rsidRPr="00EC50CD">
              <w:rPr>
                <w:sz w:val="22"/>
                <w:szCs w:val="22"/>
                <w:lang w:val="en-US"/>
              </w:rPr>
              <w:t>III</w:t>
            </w:r>
            <w:r w:rsidRPr="00EC50CD">
              <w:rPr>
                <w:sz w:val="22"/>
                <w:szCs w:val="22"/>
              </w:rPr>
              <w:t xml:space="preserve"> квартал 2015 г</w:t>
            </w:r>
            <w:r w:rsidR="00D55F4D" w:rsidRPr="00EC50CD">
              <w:rPr>
                <w:sz w:val="22"/>
                <w:szCs w:val="22"/>
              </w:rPr>
              <w:t>.</w:t>
            </w:r>
          </w:p>
          <w:p w:rsidR="00C3373D" w:rsidRDefault="00C3373D" w:rsidP="00C3373D">
            <w:pPr>
              <w:tabs>
                <w:tab w:val="left" w:pos="4530"/>
              </w:tabs>
              <w:jc w:val="both"/>
            </w:pPr>
            <w:r>
              <w:rPr>
                <w:sz w:val="22"/>
                <w:szCs w:val="22"/>
              </w:rPr>
              <w:t xml:space="preserve">Ввод в эксплуатацию: </w:t>
            </w:r>
            <w:r w:rsidR="001942C9">
              <w:rPr>
                <w:sz w:val="22"/>
                <w:szCs w:val="22"/>
              </w:rPr>
              <w:t xml:space="preserve">не позднее </w:t>
            </w:r>
            <w:r>
              <w:rPr>
                <w:sz w:val="22"/>
                <w:szCs w:val="22"/>
              </w:rPr>
              <w:t xml:space="preserve">30 </w:t>
            </w:r>
            <w:r w:rsidR="00AF533B">
              <w:rPr>
                <w:sz w:val="22"/>
                <w:szCs w:val="22"/>
              </w:rPr>
              <w:t>ноября</w:t>
            </w:r>
            <w:r>
              <w:rPr>
                <w:sz w:val="22"/>
                <w:szCs w:val="22"/>
              </w:rPr>
              <w:t xml:space="preserve"> 2015 г.</w:t>
            </w:r>
          </w:p>
          <w:p w:rsidR="002E28C9" w:rsidRPr="00EC50CD" w:rsidRDefault="002E28C9" w:rsidP="002E28C9">
            <w:pPr>
              <w:tabs>
                <w:tab w:val="left" w:pos="4530"/>
              </w:tabs>
              <w:jc w:val="both"/>
            </w:pPr>
            <w:r>
              <w:rPr>
                <w:sz w:val="22"/>
                <w:szCs w:val="22"/>
              </w:rPr>
              <w:t>Срок передачи: на позднее 30 декабря 2015 г.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14774D">
            <w:r w:rsidRPr="00EC50CD">
              <w:rPr>
                <w:sz w:val="22"/>
                <w:szCs w:val="22"/>
              </w:rPr>
              <w:t xml:space="preserve">2.3. </w:t>
            </w:r>
          </w:p>
        </w:tc>
        <w:tc>
          <w:tcPr>
            <w:tcW w:w="3177" w:type="dxa"/>
          </w:tcPr>
          <w:p w:rsidR="008D0ED5" w:rsidRPr="00EC50CD" w:rsidRDefault="008D0ED5" w:rsidP="00555C1D">
            <w:r w:rsidRPr="00EC50CD">
              <w:rPr>
                <w:sz w:val="22"/>
                <w:szCs w:val="22"/>
              </w:rPr>
              <w:t>Информация о результатах государственной экспертизы проектной документации</w:t>
            </w:r>
          </w:p>
        </w:tc>
        <w:tc>
          <w:tcPr>
            <w:tcW w:w="6558" w:type="dxa"/>
            <w:vAlign w:val="center"/>
          </w:tcPr>
          <w:p w:rsidR="008D0ED5" w:rsidRPr="00EC50CD" w:rsidRDefault="007B1B81" w:rsidP="007B1B81">
            <w:pPr>
              <w:jc w:val="both"/>
            </w:pPr>
            <w:r>
              <w:rPr>
                <w:sz w:val="22"/>
                <w:szCs w:val="22"/>
              </w:rPr>
              <w:t>Положительное з</w:t>
            </w:r>
            <w:r w:rsidR="008D0ED5" w:rsidRPr="00EC50CD">
              <w:rPr>
                <w:sz w:val="22"/>
                <w:szCs w:val="22"/>
              </w:rPr>
              <w:t xml:space="preserve">аключение </w:t>
            </w:r>
            <w:r>
              <w:rPr>
                <w:sz w:val="22"/>
                <w:szCs w:val="22"/>
              </w:rPr>
              <w:t>экспертизы проекта</w:t>
            </w:r>
            <w:r w:rsidR="008D0ED5" w:rsidRPr="00EC50CD">
              <w:rPr>
                <w:sz w:val="22"/>
                <w:szCs w:val="22"/>
              </w:rPr>
              <w:t xml:space="preserve"> (ООО «Мосэксперт) 2-1-1-0221-13 Дело №221-МЭ/12  от 22.02.2013 г.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2.4.</w:t>
            </w:r>
          </w:p>
        </w:tc>
        <w:tc>
          <w:tcPr>
            <w:tcW w:w="3177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 xml:space="preserve">Информация о разрешении на строительство 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617A3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87"/>
              </w:tabs>
              <w:ind w:left="0" w:firstLine="12"/>
              <w:jc w:val="both"/>
            </w:pPr>
            <w:r w:rsidRPr="00EC50CD">
              <w:rPr>
                <w:sz w:val="22"/>
                <w:szCs w:val="22"/>
              </w:rPr>
              <w:t>Разрешение на строительство №</w:t>
            </w:r>
            <w:r w:rsidRPr="00EC50CD">
              <w:rPr>
                <w:sz w:val="22"/>
                <w:szCs w:val="22"/>
                <w:lang w:val="en-US"/>
              </w:rPr>
              <w:t>RU</w:t>
            </w:r>
            <w:r w:rsidRPr="00EC50CD">
              <w:rPr>
                <w:sz w:val="22"/>
                <w:szCs w:val="22"/>
              </w:rPr>
              <w:t>50315000-34  от 22.02.2013 г.,  выдано Администрацией городского округа  Балашиха сроком действия до 30.03.2016 г.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2.5.</w:t>
            </w:r>
          </w:p>
        </w:tc>
        <w:tc>
          <w:tcPr>
            <w:tcW w:w="3177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Информация о правах застройщика на земельный участок</w:t>
            </w:r>
          </w:p>
          <w:p w:rsidR="008D0ED5" w:rsidRPr="00EC50CD" w:rsidRDefault="008D0ED5" w:rsidP="0081234F"/>
        </w:tc>
        <w:tc>
          <w:tcPr>
            <w:tcW w:w="6558" w:type="dxa"/>
            <w:vAlign w:val="center"/>
          </w:tcPr>
          <w:p w:rsidR="008D0ED5" w:rsidRPr="00EC50CD" w:rsidRDefault="00EC50CD" w:rsidP="00105B8A">
            <w:pPr>
              <w:tabs>
                <w:tab w:val="left" w:pos="297"/>
                <w:tab w:val="left" w:pos="447"/>
              </w:tabs>
              <w:jc w:val="both"/>
            </w:pPr>
            <w:r w:rsidRPr="00EC50CD">
              <w:rPr>
                <w:sz w:val="22"/>
                <w:szCs w:val="22"/>
              </w:rPr>
              <w:t>Собственность, свидетельство о государственной регистрации права 50-А3</w:t>
            </w:r>
            <w:r w:rsidRPr="00EC50CD">
              <w:rPr>
                <w:sz w:val="22"/>
                <w:szCs w:val="22"/>
                <w:lang w:val="en-US"/>
              </w:rPr>
              <w:t>N</w:t>
            </w:r>
            <w:r w:rsidRPr="00EC50CD">
              <w:rPr>
                <w:sz w:val="22"/>
                <w:szCs w:val="22"/>
              </w:rPr>
              <w:t xml:space="preserve"> 283630, выдано Управлением Федеральной службы государственной регистрации, кадастра и картографии по Московской области, дата выдачи 21.04.2014, запись регистрации №50-50-15/025/2014-239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6773DB">
            <w:r w:rsidRPr="00EC50CD">
              <w:rPr>
                <w:sz w:val="22"/>
                <w:szCs w:val="22"/>
              </w:rPr>
              <w:t>2.6.</w:t>
            </w:r>
          </w:p>
        </w:tc>
        <w:tc>
          <w:tcPr>
            <w:tcW w:w="3177" w:type="dxa"/>
          </w:tcPr>
          <w:p w:rsidR="008D0ED5" w:rsidRPr="00EC50CD" w:rsidRDefault="008D0ED5" w:rsidP="006773DB">
            <w:r w:rsidRPr="00EC50CD">
              <w:rPr>
                <w:sz w:val="22"/>
                <w:szCs w:val="22"/>
              </w:rPr>
              <w:t>Информация о кадастровом номере и площади земельного участка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numPr>
                <w:ilvl w:val="0"/>
                <w:numId w:val="11"/>
              </w:numPr>
              <w:tabs>
                <w:tab w:val="left" w:pos="252"/>
                <w:tab w:val="left" w:pos="447"/>
              </w:tabs>
              <w:ind w:left="0" w:firstLine="0"/>
              <w:jc w:val="both"/>
            </w:pPr>
            <w:r w:rsidRPr="00EC50CD">
              <w:rPr>
                <w:sz w:val="22"/>
                <w:szCs w:val="22"/>
              </w:rPr>
              <w:t>Земельный участок  площадью 202 400 кв.м., кадастровый номер 50:15:0040302:4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6773DB">
            <w:r w:rsidRPr="00EC50CD">
              <w:rPr>
                <w:sz w:val="22"/>
                <w:szCs w:val="22"/>
              </w:rPr>
              <w:t>2.7.</w:t>
            </w:r>
          </w:p>
        </w:tc>
        <w:tc>
          <w:tcPr>
            <w:tcW w:w="3177" w:type="dxa"/>
          </w:tcPr>
          <w:p w:rsidR="008D0ED5" w:rsidRPr="00EC50CD" w:rsidRDefault="008D0ED5" w:rsidP="006773DB">
            <w:r w:rsidRPr="00EC50CD">
              <w:rPr>
                <w:sz w:val="22"/>
                <w:szCs w:val="22"/>
              </w:rPr>
              <w:t>Информация о собственнике земельного участка в случае, если застройщик не является собственником</w:t>
            </w:r>
          </w:p>
        </w:tc>
        <w:tc>
          <w:tcPr>
            <w:tcW w:w="6558" w:type="dxa"/>
            <w:vAlign w:val="center"/>
          </w:tcPr>
          <w:p w:rsidR="008D0ED5" w:rsidRPr="00EC50CD" w:rsidRDefault="00C637C5" w:rsidP="0052046D">
            <w:pPr>
              <w:tabs>
                <w:tab w:val="left" w:pos="447"/>
              </w:tabs>
              <w:jc w:val="center"/>
            </w:pPr>
            <w:r w:rsidRPr="00EC50CD">
              <w:rPr>
                <w:sz w:val="22"/>
                <w:szCs w:val="22"/>
              </w:rPr>
              <w:t>-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6773DB">
            <w:r w:rsidRPr="00EC50CD">
              <w:rPr>
                <w:sz w:val="22"/>
                <w:szCs w:val="22"/>
              </w:rPr>
              <w:t>2.8.</w:t>
            </w:r>
          </w:p>
        </w:tc>
        <w:tc>
          <w:tcPr>
            <w:tcW w:w="3177" w:type="dxa"/>
          </w:tcPr>
          <w:p w:rsidR="008D0ED5" w:rsidRPr="00EC50CD" w:rsidRDefault="008D0ED5" w:rsidP="006773DB">
            <w:r w:rsidRPr="00EC50CD">
              <w:rPr>
                <w:sz w:val="22"/>
                <w:szCs w:val="22"/>
              </w:rPr>
              <w:t>Информация об элементах благоустройства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 xml:space="preserve">Благоустройство и озеленение в границах отведенной территории: Предусмотрено устройство тротуаров, внутриквартальных дорог с асфальтовым покрытием, открытые автостоянки для жителей (для постоянного хранения и для временного хранения), в т.ч. гостевые автостоянки с установкой бортового камня, устройство газонов, </w:t>
            </w:r>
            <w:r w:rsidRPr="00EC50CD">
              <w:rPr>
                <w:sz w:val="22"/>
                <w:szCs w:val="22"/>
              </w:rPr>
              <w:lastRenderedPageBreak/>
              <w:t>цветников и высадкой деревьев и кустарников;</w:t>
            </w:r>
          </w:p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>Предусмотрено устройство открытых площадок: для занятий физкультурой, детской площадки с подводящими дорожками с расположением малых архитектурных форм, площадки для отдыха взрослого населения.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6773DB">
            <w:r w:rsidRPr="00EC50CD">
              <w:rPr>
                <w:sz w:val="22"/>
                <w:szCs w:val="22"/>
              </w:rPr>
              <w:lastRenderedPageBreak/>
              <w:t>2.9.</w:t>
            </w:r>
          </w:p>
        </w:tc>
        <w:tc>
          <w:tcPr>
            <w:tcW w:w="3177" w:type="dxa"/>
          </w:tcPr>
          <w:p w:rsidR="008D0ED5" w:rsidRPr="00EC50CD" w:rsidRDefault="008D0ED5" w:rsidP="006773DB">
            <w:r w:rsidRPr="00EC50CD">
              <w:rPr>
                <w:sz w:val="22"/>
                <w:szCs w:val="22"/>
              </w:rPr>
              <w:t>Информация о местоположении строящегося жилого дома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>Московская область, г. Балашиха,  севернее  улицы  Лукино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2.10</w:t>
            </w:r>
          </w:p>
        </w:tc>
        <w:tc>
          <w:tcPr>
            <w:tcW w:w="3177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Информация о количестве в составе многоквартирного жилого дома самостоятельных частей, а также описании технических характеристик указанных самостоятельных частей</w:t>
            </w:r>
          </w:p>
        </w:tc>
        <w:tc>
          <w:tcPr>
            <w:tcW w:w="6558" w:type="dxa"/>
            <w:vAlign w:val="center"/>
          </w:tcPr>
          <w:p w:rsidR="008D0ED5" w:rsidRPr="00EC50CD" w:rsidRDefault="006E25BF" w:rsidP="007B1B81">
            <w:pPr>
              <w:tabs>
                <w:tab w:val="left" w:pos="588"/>
                <w:tab w:val="left" w:pos="989"/>
              </w:tabs>
              <w:ind w:left="93"/>
              <w:jc w:val="both"/>
            </w:pPr>
            <w:r w:rsidRPr="007B1B81">
              <w:rPr>
                <w:b/>
                <w:sz w:val="22"/>
                <w:szCs w:val="22"/>
              </w:rPr>
              <w:t>Жилой дом №7</w:t>
            </w:r>
            <w:r>
              <w:rPr>
                <w:sz w:val="22"/>
                <w:szCs w:val="22"/>
              </w:rPr>
              <w:t xml:space="preserve"> - </w:t>
            </w:r>
            <w:r w:rsidR="008D0ED5" w:rsidRPr="00EC50CD">
              <w:rPr>
                <w:sz w:val="22"/>
                <w:szCs w:val="22"/>
              </w:rPr>
              <w:t>25-ти этажн</w:t>
            </w:r>
            <w:r>
              <w:rPr>
                <w:sz w:val="22"/>
                <w:szCs w:val="22"/>
              </w:rPr>
              <w:t xml:space="preserve">ое здание с подвалом и техническим чердаком на 384 квартиры площадью 17426,88 кв.м., с двумя встроенно-пристроенными помещениями дошкольных образовательных учреждений на 40 мест площадью 575,90 кв.м. и на 60 мест площадью 674,75 кв.м. </w:t>
            </w:r>
          </w:p>
          <w:p w:rsidR="00E0430E" w:rsidRDefault="006E25BF" w:rsidP="007B1B81">
            <w:pPr>
              <w:tabs>
                <w:tab w:val="left" w:pos="989"/>
              </w:tabs>
              <w:ind w:left="93"/>
              <w:jc w:val="both"/>
            </w:pPr>
            <w:r w:rsidRPr="007B1B81">
              <w:rPr>
                <w:b/>
                <w:sz w:val="22"/>
                <w:szCs w:val="22"/>
              </w:rPr>
              <w:t>Жилой дом №8</w:t>
            </w:r>
            <w:r w:rsidRPr="006E25BF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 xml:space="preserve">19-25-ти этажное здание с подвалом и техническим чердаком на 562 квартиры с полезной площадью нежилых помещений общественного назначения 425,43 кв.м. </w:t>
            </w:r>
          </w:p>
          <w:p w:rsidR="008D0ED5" w:rsidRPr="00EC50CD" w:rsidRDefault="001A47CA" w:rsidP="007B1B81">
            <w:pPr>
              <w:tabs>
                <w:tab w:val="left" w:pos="989"/>
              </w:tabs>
              <w:ind w:left="93"/>
              <w:jc w:val="both"/>
            </w:pPr>
            <w:r w:rsidRPr="007B1B81">
              <w:rPr>
                <w:b/>
                <w:sz w:val="22"/>
                <w:szCs w:val="22"/>
              </w:rPr>
              <w:t>Жилой дом №9</w:t>
            </w:r>
            <w:r>
              <w:rPr>
                <w:sz w:val="22"/>
                <w:szCs w:val="22"/>
              </w:rPr>
              <w:t xml:space="preserve"> - 25-ти этажное здание с подвалом и техническим чердаком на 389 квартир с полезной площадью нежилых помещений 323,95 кв.м. 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2.11.</w:t>
            </w:r>
          </w:p>
        </w:tc>
        <w:tc>
          <w:tcPr>
            <w:tcW w:w="3177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Информация о функциональном назначении нежилых помещений в многоквартирном доме, не входящих в состав общего имущества в многоквартирном доме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tabs>
                <w:tab w:val="left" w:pos="0"/>
              </w:tabs>
              <w:suppressAutoHyphens/>
              <w:jc w:val="both"/>
            </w:pPr>
            <w:r w:rsidRPr="00EC50CD">
              <w:rPr>
                <w:b/>
                <w:sz w:val="22"/>
                <w:szCs w:val="22"/>
              </w:rPr>
              <w:t xml:space="preserve">В </w:t>
            </w:r>
            <w:r w:rsidR="007B1B81">
              <w:rPr>
                <w:b/>
                <w:sz w:val="22"/>
                <w:szCs w:val="22"/>
              </w:rPr>
              <w:t>жилом доме№</w:t>
            </w:r>
            <w:r w:rsidRPr="00EC50CD">
              <w:rPr>
                <w:b/>
                <w:sz w:val="22"/>
                <w:szCs w:val="22"/>
              </w:rPr>
              <w:t>7</w:t>
            </w:r>
            <w:r w:rsidR="007B1B81">
              <w:rPr>
                <w:b/>
                <w:sz w:val="22"/>
                <w:szCs w:val="22"/>
              </w:rPr>
              <w:t xml:space="preserve"> -</w:t>
            </w:r>
            <w:r w:rsidRPr="00EC50CD">
              <w:rPr>
                <w:sz w:val="22"/>
                <w:szCs w:val="22"/>
              </w:rPr>
              <w:t xml:space="preserve"> на первом этаже дома предусмотрено размещение нежилых помещений общественного назначения, общей  площадью 1250,65 кв.м.</w:t>
            </w:r>
          </w:p>
          <w:p w:rsidR="008D0ED5" w:rsidRPr="00EC50CD" w:rsidRDefault="008D0ED5" w:rsidP="00105B8A">
            <w:pPr>
              <w:tabs>
                <w:tab w:val="left" w:pos="0"/>
              </w:tabs>
              <w:suppressAutoHyphens/>
              <w:jc w:val="both"/>
            </w:pPr>
            <w:r w:rsidRPr="00EC50CD">
              <w:rPr>
                <w:b/>
                <w:sz w:val="22"/>
                <w:szCs w:val="22"/>
              </w:rPr>
              <w:t xml:space="preserve">В </w:t>
            </w:r>
            <w:r w:rsidR="007B1B81">
              <w:rPr>
                <w:b/>
                <w:sz w:val="22"/>
                <w:szCs w:val="22"/>
              </w:rPr>
              <w:t>жилом доме№</w:t>
            </w:r>
            <w:r w:rsidRPr="00EC50CD">
              <w:rPr>
                <w:b/>
                <w:sz w:val="22"/>
                <w:szCs w:val="22"/>
              </w:rPr>
              <w:t>8</w:t>
            </w:r>
            <w:r w:rsidR="007B1B81">
              <w:rPr>
                <w:b/>
                <w:sz w:val="22"/>
                <w:szCs w:val="22"/>
              </w:rPr>
              <w:t xml:space="preserve"> -</w:t>
            </w:r>
            <w:r w:rsidRPr="00EC50CD">
              <w:rPr>
                <w:sz w:val="22"/>
                <w:szCs w:val="22"/>
              </w:rPr>
              <w:t xml:space="preserve">на первом этаже дома предусмотрено размещение нежилых помещений общественного назначения, общей площадью 425,43 кв.м. </w:t>
            </w:r>
          </w:p>
          <w:p w:rsidR="008D0ED5" w:rsidRPr="00EC50CD" w:rsidRDefault="008D0ED5" w:rsidP="007B1B81">
            <w:pPr>
              <w:tabs>
                <w:tab w:val="left" w:pos="0"/>
              </w:tabs>
              <w:suppressAutoHyphens/>
              <w:jc w:val="both"/>
            </w:pPr>
            <w:r w:rsidRPr="00EC50CD">
              <w:rPr>
                <w:b/>
                <w:sz w:val="22"/>
                <w:szCs w:val="22"/>
              </w:rPr>
              <w:t xml:space="preserve">В </w:t>
            </w:r>
            <w:r w:rsidR="007B1B81">
              <w:rPr>
                <w:b/>
                <w:sz w:val="22"/>
                <w:szCs w:val="22"/>
              </w:rPr>
              <w:t>жилом доме№</w:t>
            </w:r>
            <w:r w:rsidRPr="00EC50CD">
              <w:rPr>
                <w:b/>
                <w:sz w:val="22"/>
                <w:szCs w:val="22"/>
              </w:rPr>
              <w:t>9</w:t>
            </w:r>
            <w:r w:rsidR="007B1B81">
              <w:rPr>
                <w:b/>
                <w:sz w:val="22"/>
                <w:szCs w:val="22"/>
              </w:rPr>
              <w:t xml:space="preserve"> -</w:t>
            </w:r>
            <w:r w:rsidRPr="00EC50CD">
              <w:rPr>
                <w:sz w:val="22"/>
                <w:szCs w:val="22"/>
              </w:rPr>
              <w:t xml:space="preserve"> на первом этаже дома предусмотрено размещение нежилых помещений общественного назначения, общей площадью 323,95 кв.м. 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2.12.</w:t>
            </w:r>
          </w:p>
        </w:tc>
        <w:tc>
          <w:tcPr>
            <w:tcW w:w="3177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Информация о составе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дома в эксплуатацию и передачи объектов долевого строительства участникам долевого строительства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>Площадь помещений общего пользования (коридоры, лифтовые холлы, вестибюль, лестницы, лестничные площадки, технический этаж, системы инженерного обеспечения здания)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2.13.</w:t>
            </w:r>
          </w:p>
        </w:tc>
        <w:tc>
          <w:tcPr>
            <w:tcW w:w="3177" w:type="dxa"/>
          </w:tcPr>
          <w:p w:rsidR="008D0ED5" w:rsidRPr="00EC50CD" w:rsidRDefault="008D0ED5" w:rsidP="007D4F84">
            <w:r w:rsidRPr="00EC50CD">
              <w:rPr>
                <w:sz w:val="22"/>
                <w:szCs w:val="22"/>
              </w:rPr>
              <w:t xml:space="preserve">Информация о предполагаемом сроке получения разрешения на ввод в эксплуатацию строящихся  многоквартирных домов </w:t>
            </w:r>
          </w:p>
        </w:tc>
        <w:tc>
          <w:tcPr>
            <w:tcW w:w="6558" w:type="dxa"/>
            <w:vAlign w:val="center"/>
          </w:tcPr>
          <w:p w:rsidR="008D0ED5" w:rsidRPr="00EC50CD" w:rsidRDefault="00C3373D" w:rsidP="00AF533B">
            <w:pPr>
              <w:jc w:val="both"/>
            </w:pPr>
            <w:r>
              <w:rPr>
                <w:sz w:val="22"/>
                <w:szCs w:val="22"/>
              </w:rPr>
              <w:t xml:space="preserve">30 </w:t>
            </w:r>
            <w:r w:rsidR="00AF533B">
              <w:rPr>
                <w:sz w:val="22"/>
                <w:szCs w:val="22"/>
              </w:rPr>
              <w:t>ноября</w:t>
            </w:r>
            <w:r w:rsidR="008D0ED5" w:rsidRPr="00EC50CD">
              <w:rPr>
                <w:sz w:val="22"/>
                <w:szCs w:val="22"/>
              </w:rPr>
              <w:t xml:space="preserve"> 201</w:t>
            </w:r>
            <w:bookmarkStart w:id="0" w:name="_GoBack"/>
            <w:bookmarkEnd w:id="0"/>
            <w:r w:rsidR="008D0ED5" w:rsidRPr="00EC50CD">
              <w:rPr>
                <w:sz w:val="22"/>
                <w:szCs w:val="22"/>
              </w:rPr>
              <w:t>5 года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2.14.</w:t>
            </w:r>
          </w:p>
        </w:tc>
        <w:tc>
          <w:tcPr>
            <w:tcW w:w="3177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 xml:space="preserve">Информация об органе, уполномоченном в соответствии с </w:t>
            </w:r>
            <w:hyperlink r:id="rId8" w:history="1">
              <w:r w:rsidRPr="00EC50CD">
                <w:rPr>
                  <w:sz w:val="22"/>
                  <w:szCs w:val="22"/>
                </w:rPr>
                <w:t>законодательством</w:t>
              </w:r>
            </w:hyperlink>
            <w:r w:rsidRPr="00EC50CD">
              <w:rPr>
                <w:sz w:val="22"/>
                <w:szCs w:val="22"/>
              </w:rPr>
              <w:t xml:space="preserve"> о градостроительной деятельности на выдачу разрешения на ввод этих объектов недвижимости в эксплуатацию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 xml:space="preserve">Разрешение на ввод объекта в эксплуатацию выдается Администрацией городского округа  Балашиха  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555C1D">
            <w:r w:rsidRPr="00EC50CD">
              <w:rPr>
                <w:sz w:val="22"/>
                <w:szCs w:val="22"/>
              </w:rPr>
              <w:t xml:space="preserve">2.15. </w:t>
            </w:r>
          </w:p>
        </w:tc>
        <w:tc>
          <w:tcPr>
            <w:tcW w:w="3177" w:type="dxa"/>
          </w:tcPr>
          <w:p w:rsidR="008D0ED5" w:rsidRPr="00EC50CD" w:rsidRDefault="008D0ED5" w:rsidP="00555C1D">
            <w:r w:rsidRPr="00EC50CD">
              <w:rPr>
                <w:sz w:val="22"/>
                <w:szCs w:val="22"/>
              </w:rPr>
              <w:t xml:space="preserve">Информация о возможных финансовых и прочих рисках при осуществлении проекта </w:t>
            </w:r>
            <w:r w:rsidRPr="00EC50CD">
              <w:rPr>
                <w:sz w:val="22"/>
                <w:szCs w:val="22"/>
              </w:rPr>
              <w:lastRenderedPageBreak/>
              <w:t xml:space="preserve">строительства </w:t>
            </w:r>
          </w:p>
        </w:tc>
        <w:tc>
          <w:tcPr>
            <w:tcW w:w="6558" w:type="dxa"/>
            <w:vAlign w:val="center"/>
          </w:tcPr>
          <w:p w:rsidR="007B1B81" w:rsidRDefault="007B1B81" w:rsidP="007B1B81">
            <w:pPr>
              <w:jc w:val="both"/>
            </w:pPr>
            <w:r w:rsidRPr="0059381E">
              <w:rPr>
                <w:sz w:val="22"/>
                <w:szCs w:val="22"/>
              </w:rPr>
              <w:lastRenderedPageBreak/>
              <w:t xml:space="preserve">1. </w:t>
            </w:r>
            <w:r>
              <w:rPr>
                <w:sz w:val="22"/>
                <w:szCs w:val="22"/>
              </w:rPr>
              <w:t>Изменение конъюнктуры рынка</w:t>
            </w:r>
          </w:p>
          <w:p w:rsidR="007B1B81" w:rsidRDefault="007B1B81" w:rsidP="007B1B81">
            <w:pPr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Pr="0059381E">
              <w:rPr>
                <w:sz w:val="22"/>
                <w:szCs w:val="22"/>
              </w:rPr>
              <w:t>Изменение действующего законодательства в сторону увеличения налогов и сборов.</w:t>
            </w:r>
          </w:p>
          <w:p w:rsidR="007B1B81" w:rsidRDefault="007B1B81" w:rsidP="007B1B81">
            <w:pPr>
              <w:jc w:val="both"/>
            </w:pPr>
            <w:r>
              <w:rPr>
                <w:sz w:val="22"/>
                <w:szCs w:val="22"/>
              </w:rPr>
              <w:lastRenderedPageBreak/>
              <w:t>3</w:t>
            </w:r>
            <w:r w:rsidRPr="0059381E">
              <w:rPr>
                <w:sz w:val="22"/>
                <w:szCs w:val="22"/>
              </w:rPr>
              <w:t>. Возникновение обстоятельств непреодолимой силы, форс-</w:t>
            </w:r>
          </w:p>
          <w:p w:rsidR="007B1B81" w:rsidRDefault="007B1B81" w:rsidP="007B1B81">
            <w:pPr>
              <w:jc w:val="both"/>
            </w:pPr>
            <w:r w:rsidRPr="0059381E">
              <w:rPr>
                <w:sz w:val="22"/>
                <w:szCs w:val="22"/>
              </w:rPr>
              <w:t>мажорных обстоятельств.</w:t>
            </w:r>
          </w:p>
          <w:p w:rsidR="008D0ED5" w:rsidRPr="00EC50CD" w:rsidRDefault="007B1B81" w:rsidP="007B1B81">
            <w:pPr>
              <w:jc w:val="both"/>
            </w:pPr>
            <w:r>
              <w:rPr>
                <w:sz w:val="22"/>
                <w:szCs w:val="22"/>
              </w:rPr>
              <w:t>4. Строительно-монтажные риски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555C1D">
            <w:r w:rsidRPr="00EC50CD">
              <w:rPr>
                <w:sz w:val="22"/>
                <w:szCs w:val="22"/>
              </w:rPr>
              <w:lastRenderedPageBreak/>
              <w:t>2.16.</w:t>
            </w:r>
          </w:p>
        </w:tc>
        <w:tc>
          <w:tcPr>
            <w:tcW w:w="3177" w:type="dxa"/>
          </w:tcPr>
          <w:p w:rsidR="008D0ED5" w:rsidRPr="00EC50CD" w:rsidRDefault="008D0ED5" w:rsidP="00555C1D">
            <w:r w:rsidRPr="00EC50CD">
              <w:rPr>
                <w:sz w:val="22"/>
                <w:szCs w:val="22"/>
              </w:rPr>
              <w:t>Информация о мерах по добровольному страхованию застройщиком таких рисков</w:t>
            </w:r>
          </w:p>
        </w:tc>
        <w:tc>
          <w:tcPr>
            <w:tcW w:w="6558" w:type="dxa"/>
            <w:vAlign w:val="center"/>
          </w:tcPr>
          <w:p w:rsidR="008D0ED5" w:rsidRPr="00EC50CD" w:rsidRDefault="007B1B81" w:rsidP="00105B8A">
            <w:pPr>
              <w:jc w:val="both"/>
            </w:pPr>
            <w:r>
              <w:rPr>
                <w:sz w:val="22"/>
                <w:szCs w:val="22"/>
              </w:rPr>
              <w:t>Договор добровольного страхования строительно-монтажных рисков</w:t>
            </w:r>
          </w:p>
        </w:tc>
      </w:tr>
      <w:tr w:rsidR="00EC50CD" w:rsidRPr="00EC50CD" w:rsidTr="00105B8A">
        <w:trPr>
          <w:trHeight w:val="144"/>
        </w:trPr>
        <w:tc>
          <w:tcPr>
            <w:tcW w:w="656" w:type="dxa"/>
          </w:tcPr>
          <w:p w:rsidR="008D0ED5" w:rsidRPr="00EC50CD" w:rsidRDefault="008D0ED5" w:rsidP="00382E3A">
            <w:r w:rsidRPr="00EC50CD">
              <w:rPr>
                <w:sz w:val="22"/>
                <w:szCs w:val="22"/>
              </w:rPr>
              <w:t>2.17.</w:t>
            </w:r>
          </w:p>
        </w:tc>
        <w:tc>
          <w:tcPr>
            <w:tcW w:w="3177" w:type="dxa"/>
          </w:tcPr>
          <w:p w:rsidR="008D0ED5" w:rsidRPr="00EC50CD" w:rsidRDefault="008D0ED5" w:rsidP="00382E3A">
            <w:r w:rsidRPr="00EC50CD">
              <w:rPr>
                <w:sz w:val="22"/>
                <w:szCs w:val="22"/>
              </w:rPr>
              <w:t xml:space="preserve">Планируемая стоимость строительства 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jc w:val="both"/>
            </w:pPr>
            <w:r w:rsidRPr="00EC50CD">
              <w:rPr>
                <w:sz w:val="22"/>
                <w:szCs w:val="22"/>
              </w:rPr>
              <w:t>2,5 млрд. рублей</w:t>
            </w:r>
          </w:p>
        </w:tc>
      </w:tr>
      <w:tr w:rsidR="00EC50CD" w:rsidRPr="00EC50CD" w:rsidTr="00105B8A">
        <w:trPr>
          <w:trHeight w:val="1263"/>
        </w:trPr>
        <w:tc>
          <w:tcPr>
            <w:tcW w:w="656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2.18.</w:t>
            </w:r>
          </w:p>
        </w:tc>
        <w:tc>
          <w:tcPr>
            <w:tcW w:w="3177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Перечень организаций – подрядчиков, осуществляющих основные строительно-монтажные и другие работы</w:t>
            </w:r>
          </w:p>
        </w:tc>
        <w:tc>
          <w:tcPr>
            <w:tcW w:w="6558" w:type="dxa"/>
            <w:vAlign w:val="center"/>
          </w:tcPr>
          <w:p w:rsidR="007B1B81" w:rsidRPr="0059381E" w:rsidRDefault="007B1B81" w:rsidP="007B1B81">
            <w:pPr>
              <w:tabs>
                <w:tab w:val="left" w:pos="344"/>
              </w:tabs>
              <w:jc w:val="both"/>
            </w:pPr>
            <w:r w:rsidRPr="0059381E">
              <w:rPr>
                <w:sz w:val="22"/>
                <w:szCs w:val="22"/>
              </w:rPr>
              <w:t>Открытое акционерное общество Холдинговая компания «Главное всерегиональное строительное управление «Центр»</w:t>
            </w:r>
            <w:r w:rsidRPr="003171F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ОГРН </w:t>
            </w:r>
            <w:r w:rsidRPr="003171FF">
              <w:rPr>
                <w:sz w:val="22"/>
                <w:szCs w:val="22"/>
              </w:rPr>
              <w:t>1027739053451)</w:t>
            </w:r>
          </w:p>
          <w:p w:rsidR="008D0ED5" w:rsidRPr="00EC50CD" w:rsidRDefault="007B1B81" w:rsidP="007B1B81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ООО</w:t>
            </w:r>
            <w:r w:rsidRPr="0059381E">
              <w:rPr>
                <w:sz w:val="22"/>
                <w:szCs w:val="22"/>
              </w:rPr>
              <w:t xml:space="preserve"> «Техинвест»</w:t>
            </w:r>
            <w:r>
              <w:rPr>
                <w:sz w:val="22"/>
                <w:szCs w:val="22"/>
              </w:rPr>
              <w:t xml:space="preserve"> (ОГРН 1065001000140)</w:t>
            </w:r>
          </w:p>
        </w:tc>
      </w:tr>
      <w:tr w:rsidR="00EC50CD" w:rsidRPr="00EC50CD" w:rsidTr="00105B8A">
        <w:trPr>
          <w:trHeight w:val="683"/>
        </w:trPr>
        <w:tc>
          <w:tcPr>
            <w:tcW w:w="656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2.19.</w:t>
            </w:r>
          </w:p>
        </w:tc>
        <w:tc>
          <w:tcPr>
            <w:tcW w:w="3177" w:type="dxa"/>
          </w:tcPr>
          <w:p w:rsidR="008D0ED5" w:rsidRPr="00EC50CD" w:rsidRDefault="008D0ED5" w:rsidP="0081234F">
            <w:r w:rsidRPr="00EC50CD">
              <w:rPr>
                <w:sz w:val="22"/>
                <w:szCs w:val="22"/>
              </w:rPr>
              <w:t>Способ обеспечения исполнения обязательств  по договору</w:t>
            </w:r>
          </w:p>
        </w:tc>
        <w:tc>
          <w:tcPr>
            <w:tcW w:w="6558" w:type="dxa"/>
            <w:vAlign w:val="center"/>
          </w:tcPr>
          <w:p w:rsidR="008D0ED5" w:rsidRPr="00EC50CD" w:rsidRDefault="009F53AE" w:rsidP="00105B8A">
            <w:pPr>
              <w:jc w:val="both"/>
            </w:pPr>
            <w:r w:rsidRPr="0059381E">
              <w:rPr>
                <w:sz w:val="22"/>
                <w:szCs w:val="22"/>
              </w:rPr>
              <w:t>Залог в порядке, предусмотренным статьями 13-15 Федерального закона от 30.12.2004 г. № 214-ФЗ</w:t>
            </w:r>
            <w:r>
              <w:rPr>
                <w:sz w:val="22"/>
                <w:szCs w:val="22"/>
              </w:rPr>
      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</w:tr>
      <w:tr w:rsidR="00EC50CD" w:rsidRPr="00EC50CD" w:rsidTr="00105B8A">
        <w:trPr>
          <w:trHeight w:val="2236"/>
        </w:trPr>
        <w:tc>
          <w:tcPr>
            <w:tcW w:w="656" w:type="dxa"/>
          </w:tcPr>
          <w:p w:rsidR="008D0ED5" w:rsidRPr="00EC50CD" w:rsidRDefault="008D0ED5" w:rsidP="000E153E">
            <w:r w:rsidRPr="00EC50CD">
              <w:rPr>
                <w:sz w:val="22"/>
                <w:szCs w:val="22"/>
              </w:rPr>
              <w:t>2.20.</w:t>
            </w:r>
          </w:p>
        </w:tc>
        <w:tc>
          <w:tcPr>
            <w:tcW w:w="3177" w:type="dxa"/>
          </w:tcPr>
          <w:p w:rsidR="008D0ED5" w:rsidRPr="00EC50CD" w:rsidRDefault="008D0ED5" w:rsidP="00EC66FA">
            <w:r w:rsidRPr="00EC50CD">
              <w:rPr>
                <w:sz w:val="22"/>
                <w:szCs w:val="22"/>
              </w:rPr>
              <w:t>Информация об иных договорах и сделках, на основании которых привлекаются денежные средства для строительства многоквартирного дома, за исключением привлечения денежных средств на основании договоров долевого участия</w:t>
            </w:r>
          </w:p>
        </w:tc>
        <w:tc>
          <w:tcPr>
            <w:tcW w:w="6558" w:type="dxa"/>
            <w:vAlign w:val="center"/>
          </w:tcPr>
          <w:p w:rsidR="008D0ED5" w:rsidRPr="00EC50CD" w:rsidRDefault="008D0ED5" w:rsidP="00105B8A">
            <w:pPr>
              <w:ind w:left="12"/>
              <w:jc w:val="both"/>
            </w:pPr>
            <w:r w:rsidRPr="00EC50CD">
              <w:rPr>
                <w:sz w:val="22"/>
                <w:szCs w:val="22"/>
              </w:rPr>
              <w:t>Иных договоров  и сделок не имеется</w:t>
            </w:r>
          </w:p>
          <w:p w:rsidR="008D0ED5" w:rsidRPr="00EC50CD" w:rsidRDefault="008D0ED5" w:rsidP="00105B8A">
            <w:pPr>
              <w:ind w:left="192"/>
              <w:jc w:val="both"/>
            </w:pPr>
          </w:p>
        </w:tc>
      </w:tr>
    </w:tbl>
    <w:p w:rsidR="008D0ED5" w:rsidRPr="00EC50CD" w:rsidRDefault="008D0ED5" w:rsidP="00E801F3">
      <w:pPr>
        <w:jc w:val="both"/>
        <w:rPr>
          <w:sz w:val="22"/>
          <w:szCs w:val="22"/>
        </w:rPr>
      </w:pPr>
    </w:p>
    <w:p w:rsidR="0061256D" w:rsidRPr="0017563D" w:rsidRDefault="0061256D" w:rsidP="0061256D">
      <w:pPr>
        <w:ind w:left="-540" w:firstLine="720"/>
        <w:jc w:val="both"/>
        <w:rPr>
          <w:b/>
          <w:sz w:val="22"/>
          <w:szCs w:val="22"/>
        </w:rPr>
      </w:pPr>
      <w:r w:rsidRPr="003B716A">
        <w:rPr>
          <w:sz w:val="22"/>
          <w:szCs w:val="22"/>
        </w:rPr>
        <w:t xml:space="preserve">С правоустанавливающими и разрешительными документами, финансовой отчетностью, оригиналом Проектной декларации ООО «Гранель Девелопмент», иными документами в соответствии с требованием действующего законодательства Российской Федерации можно ознакомиться по адресу: Россия, г. Москва, ул. Тверская, д.22/2, корп.1, а также на официальном сайте застройщика: </w:t>
      </w:r>
      <w:hyperlink r:id="rId9" w:history="1">
        <w:r w:rsidRPr="003B716A">
          <w:rPr>
            <w:rStyle w:val="ad"/>
            <w:sz w:val="22"/>
            <w:szCs w:val="22"/>
            <w:lang w:val="en-US"/>
          </w:rPr>
          <w:t>www</w:t>
        </w:r>
        <w:r w:rsidRPr="003B716A">
          <w:rPr>
            <w:rStyle w:val="ad"/>
            <w:sz w:val="22"/>
            <w:szCs w:val="22"/>
          </w:rPr>
          <w:t>.</w:t>
        </w:r>
        <w:r w:rsidRPr="003B716A">
          <w:rPr>
            <w:rStyle w:val="ad"/>
            <w:sz w:val="22"/>
            <w:szCs w:val="22"/>
            <w:lang w:val="en-US"/>
          </w:rPr>
          <w:t>granelle</w:t>
        </w:r>
        <w:r w:rsidRPr="003B716A">
          <w:rPr>
            <w:rStyle w:val="ad"/>
            <w:sz w:val="22"/>
            <w:szCs w:val="22"/>
          </w:rPr>
          <w:t>.</w:t>
        </w:r>
        <w:r w:rsidRPr="003B716A">
          <w:rPr>
            <w:rStyle w:val="ad"/>
            <w:sz w:val="22"/>
            <w:szCs w:val="22"/>
            <w:lang w:val="en-US"/>
          </w:rPr>
          <w:t>ru</w:t>
        </w:r>
      </w:hyperlink>
    </w:p>
    <w:p w:rsidR="008D0ED5" w:rsidRPr="00EC50CD" w:rsidRDefault="008D0ED5" w:rsidP="00E801F3">
      <w:pPr>
        <w:jc w:val="both"/>
        <w:rPr>
          <w:sz w:val="22"/>
          <w:szCs w:val="22"/>
        </w:rPr>
      </w:pPr>
    </w:p>
    <w:p w:rsidR="008D0ED5" w:rsidRPr="00EC50CD" w:rsidRDefault="008D0ED5" w:rsidP="00E801F3">
      <w:pPr>
        <w:jc w:val="both"/>
        <w:rPr>
          <w:b/>
          <w:sz w:val="22"/>
          <w:szCs w:val="22"/>
        </w:rPr>
      </w:pPr>
    </w:p>
    <w:sectPr w:rsidR="008D0ED5" w:rsidRPr="00EC50CD" w:rsidSect="00605940">
      <w:footerReference w:type="default" r:id="rId10"/>
      <w:pgSz w:w="11906" w:h="16838"/>
      <w:pgMar w:top="899" w:right="851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55F" w:rsidRDefault="0009355F">
      <w:r>
        <w:separator/>
      </w:r>
    </w:p>
  </w:endnote>
  <w:endnote w:type="continuationSeparator" w:id="1">
    <w:p w:rsidR="0009355F" w:rsidRDefault="00093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D5" w:rsidRPr="00CD4DEB" w:rsidRDefault="008D0ED5" w:rsidP="00CD4DEB">
    <w:pPr>
      <w:pStyle w:val="a6"/>
      <w:jc w:val="right"/>
    </w:pPr>
    <w:r w:rsidRPr="00CD4DEB">
      <w:t xml:space="preserve">стр. </w:t>
    </w:r>
    <w:r w:rsidR="001F2371">
      <w:fldChar w:fldCharType="begin"/>
    </w:r>
    <w:r w:rsidR="00AF66EB">
      <w:instrText xml:space="preserve"> PAGE </w:instrText>
    </w:r>
    <w:r w:rsidR="001F2371">
      <w:fldChar w:fldCharType="separate"/>
    </w:r>
    <w:r w:rsidR="00035E55">
      <w:rPr>
        <w:noProof/>
      </w:rPr>
      <w:t>3</w:t>
    </w:r>
    <w:r w:rsidR="001F2371">
      <w:rPr>
        <w:noProof/>
      </w:rPr>
      <w:fldChar w:fldCharType="end"/>
    </w:r>
    <w:r w:rsidRPr="00CD4DEB">
      <w:t xml:space="preserve"> из </w:t>
    </w:r>
    <w:r w:rsidR="001F2371">
      <w:fldChar w:fldCharType="begin"/>
    </w:r>
    <w:r w:rsidR="00406F7D">
      <w:instrText xml:space="preserve"> NUMPAGES </w:instrText>
    </w:r>
    <w:r w:rsidR="001F2371">
      <w:fldChar w:fldCharType="separate"/>
    </w:r>
    <w:r w:rsidR="00035E55">
      <w:rPr>
        <w:noProof/>
      </w:rPr>
      <w:t>5</w:t>
    </w:r>
    <w:r w:rsidR="001F2371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55F" w:rsidRDefault="0009355F">
      <w:r>
        <w:separator/>
      </w:r>
    </w:p>
  </w:footnote>
  <w:footnote w:type="continuationSeparator" w:id="1">
    <w:p w:rsidR="0009355F" w:rsidRDefault="00093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414"/>
    <w:multiLevelType w:val="hybridMultilevel"/>
    <w:tmpl w:val="5F00E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4F0B"/>
    <w:multiLevelType w:val="hybridMultilevel"/>
    <w:tmpl w:val="3DB0F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D0280"/>
    <w:multiLevelType w:val="hybridMultilevel"/>
    <w:tmpl w:val="33D4D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04074"/>
    <w:multiLevelType w:val="hybridMultilevel"/>
    <w:tmpl w:val="DE808B7A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4">
    <w:nsid w:val="20383926"/>
    <w:multiLevelType w:val="multilevel"/>
    <w:tmpl w:val="B70C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23343D"/>
    <w:multiLevelType w:val="hybridMultilevel"/>
    <w:tmpl w:val="8D8E0FE8"/>
    <w:lvl w:ilvl="0" w:tplc="B63803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87D33"/>
    <w:multiLevelType w:val="hybridMultilevel"/>
    <w:tmpl w:val="87DA23F8"/>
    <w:lvl w:ilvl="0" w:tplc="3EF4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5C3A22"/>
    <w:multiLevelType w:val="hybridMultilevel"/>
    <w:tmpl w:val="BC98AB8E"/>
    <w:lvl w:ilvl="0" w:tplc="8146CF9A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>
    <w:nsid w:val="264A290C"/>
    <w:multiLevelType w:val="hybridMultilevel"/>
    <w:tmpl w:val="B2E8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44D48"/>
    <w:multiLevelType w:val="hybridMultilevel"/>
    <w:tmpl w:val="2376C598"/>
    <w:lvl w:ilvl="0" w:tplc="041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0">
    <w:nsid w:val="2C101E72"/>
    <w:multiLevelType w:val="multilevel"/>
    <w:tmpl w:val="9E84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D0C6196"/>
    <w:multiLevelType w:val="hybridMultilevel"/>
    <w:tmpl w:val="02640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C7742"/>
    <w:multiLevelType w:val="hybridMultilevel"/>
    <w:tmpl w:val="E58E0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7E4C24"/>
    <w:multiLevelType w:val="hybridMultilevel"/>
    <w:tmpl w:val="D152D550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5CA9141A"/>
    <w:multiLevelType w:val="hybridMultilevel"/>
    <w:tmpl w:val="F37EDE90"/>
    <w:lvl w:ilvl="0" w:tplc="D8E21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70F86"/>
    <w:multiLevelType w:val="hybridMultilevel"/>
    <w:tmpl w:val="7536FE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71747C"/>
    <w:multiLevelType w:val="hybridMultilevel"/>
    <w:tmpl w:val="0EDA3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4167B"/>
    <w:multiLevelType w:val="hybridMultilevel"/>
    <w:tmpl w:val="4242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0A358C"/>
    <w:multiLevelType w:val="hybridMultilevel"/>
    <w:tmpl w:val="0644B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60CA3"/>
    <w:multiLevelType w:val="hybridMultilevel"/>
    <w:tmpl w:val="9ED83BA0"/>
    <w:lvl w:ilvl="0" w:tplc="8146C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C85B08"/>
    <w:multiLevelType w:val="hybridMultilevel"/>
    <w:tmpl w:val="408215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A6C28"/>
    <w:multiLevelType w:val="hybridMultilevel"/>
    <w:tmpl w:val="F0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06C40"/>
    <w:multiLevelType w:val="hybridMultilevel"/>
    <w:tmpl w:val="251C16DC"/>
    <w:lvl w:ilvl="0" w:tplc="5ED2F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795F2E"/>
    <w:multiLevelType w:val="hybridMultilevel"/>
    <w:tmpl w:val="4A5E8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9C7687"/>
    <w:multiLevelType w:val="hybridMultilevel"/>
    <w:tmpl w:val="CF0A2AA4"/>
    <w:lvl w:ilvl="0" w:tplc="4DC4E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9"/>
  </w:num>
  <w:num w:numId="5">
    <w:abstractNumId w:val="5"/>
  </w:num>
  <w:num w:numId="6">
    <w:abstractNumId w:val="6"/>
  </w:num>
  <w:num w:numId="7">
    <w:abstractNumId w:val="24"/>
  </w:num>
  <w:num w:numId="8">
    <w:abstractNumId w:val="4"/>
  </w:num>
  <w:num w:numId="9">
    <w:abstractNumId w:val="16"/>
  </w:num>
  <w:num w:numId="10">
    <w:abstractNumId w:val="17"/>
  </w:num>
  <w:num w:numId="11">
    <w:abstractNumId w:val="0"/>
  </w:num>
  <w:num w:numId="12">
    <w:abstractNumId w:val="8"/>
  </w:num>
  <w:num w:numId="13">
    <w:abstractNumId w:val="21"/>
  </w:num>
  <w:num w:numId="14">
    <w:abstractNumId w:val="3"/>
  </w:num>
  <w:num w:numId="15">
    <w:abstractNumId w:val="18"/>
  </w:num>
  <w:num w:numId="16">
    <w:abstractNumId w:val="10"/>
  </w:num>
  <w:num w:numId="17">
    <w:abstractNumId w:val="13"/>
  </w:num>
  <w:num w:numId="18">
    <w:abstractNumId w:val="22"/>
  </w:num>
  <w:num w:numId="19">
    <w:abstractNumId w:val="2"/>
  </w:num>
  <w:num w:numId="20">
    <w:abstractNumId w:val="14"/>
  </w:num>
  <w:num w:numId="21">
    <w:abstractNumId w:val="11"/>
  </w:num>
  <w:num w:numId="22">
    <w:abstractNumId w:val="20"/>
  </w:num>
  <w:num w:numId="23">
    <w:abstractNumId w:val="15"/>
  </w:num>
  <w:num w:numId="24">
    <w:abstractNumId w:val="12"/>
  </w:num>
  <w:num w:numId="25">
    <w:abstractNumId w:val="7"/>
  </w:num>
  <w:num w:numId="26">
    <w:abstractNumId w:val="2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8A3"/>
    <w:rsid w:val="00006308"/>
    <w:rsid w:val="00006CD8"/>
    <w:rsid w:val="000077C3"/>
    <w:rsid w:val="000122E9"/>
    <w:rsid w:val="000132C1"/>
    <w:rsid w:val="00013317"/>
    <w:rsid w:val="00016A7E"/>
    <w:rsid w:val="000246B8"/>
    <w:rsid w:val="00035E55"/>
    <w:rsid w:val="00046C57"/>
    <w:rsid w:val="00046E2C"/>
    <w:rsid w:val="0005313C"/>
    <w:rsid w:val="00054584"/>
    <w:rsid w:val="00055FA8"/>
    <w:rsid w:val="00057F25"/>
    <w:rsid w:val="000612B0"/>
    <w:rsid w:val="000632A2"/>
    <w:rsid w:val="00064249"/>
    <w:rsid w:val="00067376"/>
    <w:rsid w:val="00067F25"/>
    <w:rsid w:val="00076B97"/>
    <w:rsid w:val="00080039"/>
    <w:rsid w:val="00082E58"/>
    <w:rsid w:val="000849BA"/>
    <w:rsid w:val="000857D7"/>
    <w:rsid w:val="00086958"/>
    <w:rsid w:val="0009355F"/>
    <w:rsid w:val="000935B2"/>
    <w:rsid w:val="000B1311"/>
    <w:rsid w:val="000B1C0F"/>
    <w:rsid w:val="000B1FB3"/>
    <w:rsid w:val="000B43EF"/>
    <w:rsid w:val="000B6C05"/>
    <w:rsid w:val="000C3C85"/>
    <w:rsid w:val="000C5D29"/>
    <w:rsid w:val="000D7250"/>
    <w:rsid w:val="000E153E"/>
    <w:rsid w:val="000E7131"/>
    <w:rsid w:val="000F2C0A"/>
    <w:rsid w:val="000F2F12"/>
    <w:rsid w:val="00100176"/>
    <w:rsid w:val="00105B8A"/>
    <w:rsid w:val="001071EF"/>
    <w:rsid w:val="00110DA8"/>
    <w:rsid w:val="00111F4D"/>
    <w:rsid w:val="00116D0F"/>
    <w:rsid w:val="001226FE"/>
    <w:rsid w:val="00122997"/>
    <w:rsid w:val="00127337"/>
    <w:rsid w:val="00127631"/>
    <w:rsid w:val="00133085"/>
    <w:rsid w:val="001418D6"/>
    <w:rsid w:val="001449C2"/>
    <w:rsid w:val="0014774D"/>
    <w:rsid w:val="001510E4"/>
    <w:rsid w:val="00160BFC"/>
    <w:rsid w:val="001664F1"/>
    <w:rsid w:val="00166810"/>
    <w:rsid w:val="00170BCF"/>
    <w:rsid w:val="001723AC"/>
    <w:rsid w:val="0017563D"/>
    <w:rsid w:val="0017662E"/>
    <w:rsid w:val="0017731A"/>
    <w:rsid w:val="001776D5"/>
    <w:rsid w:val="0018491C"/>
    <w:rsid w:val="00185707"/>
    <w:rsid w:val="001942C9"/>
    <w:rsid w:val="00195D61"/>
    <w:rsid w:val="001961D2"/>
    <w:rsid w:val="001A1C1E"/>
    <w:rsid w:val="001A47CA"/>
    <w:rsid w:val="001B1337"/>
    <w:rsid w:val="001B260C"/>
    <w:rsid w:val="001B525F"/>
    <w:rsid w:val="001B72D8"/>
    <w:rsid w:val="001C2B0E"/>
    <w:rsid w:val="001C72B0"/>
    <w:rsid w:val="001D059A"/>
    <w:rsid w:val="001D0FEA"/>
    <w:rsid w:val="001D5ABA"/>
    <w:rsid w:val="001D7DAF"/>
    <w:rsid w:val="001E42CA"/>
    <w:rsid w:val="001F2371"/>
    <w:rsid w:val="001F5BF3"/>
    <w:rsid w:val="001F5F36"/>
    <w:rsid w:val="0020023A"/>
    <w:rsid w:val="002021BF"/>
    <w:rsid w:val="002040DB"/>
    <w:rsid w:val="00206CD9"/>
    <w:rsid w:val="00207B0B"/>
    <w:rsid w:val="00213171"/>
    <w:rsid w:val="00213DCA"/>
    <w:rsid w:val="002248B3"/>
    <w:rsid w:val="00226F2D"/>
    <w:rsid w:val="00230B34"/>
    <w:rsid w:val="00245330"/>
    <w:rsid w:val="00257708"/>
    <w:rsid w:val="00260A2C"/>
    <w:rsid w:val="002618CD"/>
    <w:rsid w:val="002701CF"/>
    <w:rsid w:val="00271DF8"/>
    <w:rsid w:val="00275B28"/>
    <w:rsid w:val="00275E15"/>
    <w:rsid w:val="002805EB"/>
    <w:rsid w:val="00282D5D"/>
    <w:rsid w:val="00290DB5"/>
    <w:rsid w:val="00292F09"/>
    <w:rsid w:val="00297E13"/>
    <w:rsid w:val="002A20F0"/>
    <w:rsid w:val="002A2438"/>
    <w:rsid w:val="002C0050"/>
    <w:rsid w:val="002D2E80"/>
    <w:rsid w:val="002D4A42"/>
    <w:rsid w:val="002D5B80"/>
    <w:rsid w:val="002E236F"/>
    <w:rsid w:val="002E28C9"/>
    <w:rsid w:val="002E42A3"/>
    <w:rsid w:val="002E4690"/>
    <w:rsid w:val="002F046B"/>
    <w:rsid w:val="002F0B06"/>
    <w:rsid w:val="002F0BDF"/>
    <w:rsid w:val="002F4DE9"/>
    <w:rsid w:val="002F5656"/>
    <w:rsid w:val="002F6B80"/>
    <w:rsid w:val="00302977"/>
    <w:rsid w:val="00303406"/>
    <w:rsid w:val="00307073"/>
    <w:rsid w:val="0031209A"/>
    <w:rsid w:val="00312F48"/>
    <w:rsid w:val="00322162"/>
    <w:rsid w:val="00322980"/>
    <w:rsid w:val="003331DB"/>
    <w:rsid w:val="00344DC6"/>
    <w:rsid w:val="00344E0E"/>
    <w:rsid w:val="00362426"/>
    <w:rsid w:val="00366095"/>
    <w:rsid w:val="00367C0C"/>
    <w:rsid w:val="0037401E"/>
    <w:rsid w:val="00376D74"/>
    <w:rsid w:val="0037702B"/>
    <w:rsid w:val="00382A9D"/>
    <w:rsid w:val="00382E3A"/>
    <w:rsid w:val="00383911"/>
    <w:rsid w:val="00390BF4"/>
    <w:rsid w:val="00390F74"/>
    <w:rsid w:val="003944CC"/>
    <w:rsid w:val="00394E1F"/>
    <w:rsid w:val="003B086A"/>
    <w:rsid w:val="003D32A9"/>
    <w:rsid w:val="003D4D1C"/>
    <w:rsid w:val="003D5DA3"/>
    <w:rsid w:val="003D6C95"/>
    <w:rsid w:val="003E1405"/>
    <w:rsid w:val="003E5CC7"/>
    <w:rsid w:val="003E6630"/>
    <w:rsid w:val="003E6E95"/>
    <w:rsid w:val="003E7A9E"/>
    <w:rsid w:val="003F0769"/>
    <w:rsid w:val="003F4EC3"/>
    <w:rsid w:val="00400E81"/>
    <w:rsid w:val="004026FE"/>
    <w:rsid w:val="00406F7D"/>
    <w:rsid w:val="00407769"/>
    <w:rsid w:val="004177C8"/>
    <w:rsid w:val="004221DD"/>
    <w:rsid w:val="004354F1"/>
    <w:rsid w:val="00436BE4"/>
    <w:rsid w:val="00442300"/>
    <w:rsid w:val="00445CEE"/>
    <w:rsid w:val="00447A82"/>
    <w:rsid w:val="00447C30"/>
    <w:rsid w:val="00456BC4"/>
    <w:rsid w:val="00470E83"/>
    <w:rsid w:val="0047585E"/>
    <w:rsid w:val="00494765"/>
    <w:rsid w:val="004949E0"/>
    <w:rsid w:val="00494C3F"/>
    <w:rsid w:val="004A0B60"/>
    <w:rsid w:val="004B0170"/>
    <w:rsid w:val="004B1522"/>
    <w:rsid w:val="004B3D4C"/>
    <w:rsid w:val="004C0BBA"/>
    <w:rsid w:val="004C1E08"/>
    <w:rsid w:val="004C3FE9"/>
    <w:rsid w:val="004D0771"/>
    <w:rsid w:val="004D6DB4"/>
    <w:rsid w:val="004E33B1"/>
    <w:rsid w:val="004E371B"/>
    <w:rsid w:val="004E4159"/>
    <w:rsid w:val="004E5BCE"/>
    <w:rsid w:val="004F163C"/>
    <w:rsid w:val="004F7127"/>
    <w:rsid w:val="004F7928"/>
    <w:rsid w:val="00511C6C"/>
    <w:rsid w:val="005135D8"/>
    <w:rsid w:val="00516882"/>
    <w:rsid w:val="0052046D"/>
    <w:rsid w:val="00522FD4"/>
    <w:rsid w:val="00523040"/>
    <w:rsid w:val="00523FE2"/>
    <w:rsid w:val="005251D6"/>
    <w:rsid w:val="00526F66"/>
    <w:rsid w:val="00527523"/>
    <w:rsid w:val="00531ECB"/>
    <w:rsid w:val="00532E16"/>
    <w:rsid w:val="0053536F"/>
    <w:rsid w:val="00540EB2"/>
    <w:rsid w:val="00545F52"/>
    <w:rsid w:val="00547041"/>
    <w:rsid w:val="0055108D"/>
    <w:rsid w:val="005555F4"/>
    <w:rsid w:val="00555C1D"/>
    <w:rsid w:val="005562DC"/>
    <w:rsid w:val="00556724"/>
    <w:rsid w:val="005618BA"/>
    <w:rsid w:val="00567254"/>
    <w:rsid w:val="0057449A"/>
    <w:rsid w:val="00574F7A"/>
    <w:rsid w:val="005772FF"/>
    <w:rsid w:val="00584118"/>
    <w:rsid w:val="005918A4"/>
    <w:rsid w:val="005935EC"/>
    <w:rsid w:val="005951E6"/>
    <w:rsid w:val="00597138"/>
    <w:rsid w:val="00597EE8"/>
    <w:rsid w:val="005A0484"/>
    <w:rsid w:val="005A315A"/>
    <w:rsid w:val="005A4891"/>
    <w:rsid w:val="005A5934"/>
    <w:rsid w:val="005A716C"/>
    <w:rsid w:val="005C259A"/>
    <w:rsid w:val="005C5BA8"/>
    <w:rsid w:val="005C7CA4"/>
    <w:rsid w:val="005D0FFD"/>
    <w:rsid w:val="005D4FDC"/>
    <w:rsid w:val="005D6ED3"/>
    <w:rsid w:val="005E26B6"/>
    <w:rsid w:val="005E314A"/>
    <w:rsid w:val="005F24C7"/>
    <w:rsid w:val="005F363A"/>
    <w:rsid w:val="005F5A62"/>
    <w:rsid w:val="005F602C"/>
    <w:rsid w:val="00600089"/>
    <w:rsid w:val="006004A7"/>
    <w:rsid w:val="00602690"/>
    <w:rsid w:val="00603F83"/>
    <w:rsid w:val="00605940"/>
    <w:rsid w:val="00606786"/>
    <w:rsid w:val="0061256D"/>
    <w:rsid w:val="00614A42"/>
    <w:rsid w:val="00615563"/>
    <w:rsid w:val="00617A3B"/>
    <w:rsid w:val="006249E3"/>
    <w:rsid w:val="006257F0"/>
    <w:rsid w:val="00626396"/>
    <w:rsid w:val="00626994"/>
    <w:rsid w:val="006316D0"/>
    <w:rsid w:val="00632B16"/>
    <w:rsid w:val="00636BB6"/>
    <w:rsid w:val="006401A8"/>
    <w:rsid w:val="00644E1D"/>
    <w:rsid w:val="00645B3D"/>
    <w:rsid w:val="006537C3"/>
    <w:rsid w:val="006555B5"/>
    <w:rsid w:val="00662964"/>
    <w:rsid w:val="006725B9"/>
    <w:rsid w:val="00673051"/>
    <w:rsid w:val="00675EF7"/>
    <w:rsid w:val="006773DB"/>
    <w:rsid w:val="006775E1"/>
    <w:rsid w:val="00677D78"/>
    <w:rsid w:val="006848A5"/>
    <w:rsid w:val="00692CD5"/>
    <w:rsid w:val="00692DF7"/>
    <w:rsid w:val="006931E8"/>
    <w:rsid w:val="00693703"/>
    <w:rsid w:val="006A1F13"/>
    <w:rsid w:val="006A23C4"/>
    <w:rsid w:val="006B7F4D"/>
    <w:rsid w:val="006C5191"/>
    <w:rsid w:val="006C5435"/>
    <w:rsid w:val="006D285B"/>
    <w:rsid w:val="006D2EC0"/>
    <w:rsid w:val="006D33A9"/>
    <w:rsid w:val="006D60CE"/>
    <w:rsid w:val="006D7082"/>
    <w:rsid w:val="006E2412"/>
    <w:rsid w:val="006E25BF"/>
    <w:rsid w:val="006E4FCC"/>
    <w:rsid w:val="006E53B1"/>
    <w:rsid w:val="006E5E8A"/>
    <w:rsid w:val="006E62B1"/>
    <w:rsid w:val="006E728B"/>
    <w:rsid w:val="006F2ECF"/>
    <w:rsid w:val="006F66F0"/>
    <w:rsid w:val="007008D5"/>
    <w:rsid w:val="007073F3"/>
    <w:rsid w:val="0071003C"/>
    <w:rsid w:val="00713821"/>
    <w:rsid w:val="00724425"/>
    <w:rsid w:val="00727988"/>
    <w:rsid w:val="00735B8C"/>
    <w:rsid w:val="007402B4"/>
    <w:rsid w:val="0074068A"/>
    <w:rsid w:val="00746C8E"/>
    <w:rsid w:val="007506FF"/>
    <w:rsid w:val="00755CD0"/>
    <w:rsid w:val="00765378"/>
    <w:rsid w:val="00776F7D"/>
    <w:rsid w:val="0078711F"/>
    <w:rsid w:val="00790892"/>
    <w:rsid w:val="00795F02"/>
    <w:rsid w:val="007B1B81"/>
    <w:rsid w:val="007B1C69"/>
    <w:rsid w:val="007B28A3"/>
    <w:rsid w:val="007B2A50"/>
    <w:rsid w:val="007B2E6B"/>
    <w:rsid w:val="007B3835"/>
    <w:rsid w:val="007C11FE"/>
    <w:rsid w:val="007C203F"/>
    <w:rsid w:val="007C2C53"/>
    <w:rsid w:val="007C2DBA"/>
    <w:rsid w:val="007C2EF0"/>
    <w:rsid w:val="007C41AF"/>
    <w:rsid w:val="007C5CFA"/>
    <w:rsid w:val="007D4271"/>
    <w:rsid w:val="007D4F84"/>
    <w:rsid w:val="007D5A35"/>
    <w:rsid w:val="007E4030"/>
    <w:rsid w:val="007F1302"/>
    <w:rsid w:val="007F481E"/>
    <w:rsid w:val="007F4BF7"/>
    <w:rsid w:val="007F502C"/>
    <w:rsid w:val="007F57D7"/>
    <w:rsid w:val="008038EF"/>
    <w:rsid w:val="0081234F"/>
    <w:rsid w:val="00820FF2"/>
    <w:rsid w:val="00821352"/>
    <w:rsid w:val="00821C88"/>
    <w:rsid w:val="00823783"/>
    <w:rsid w:val="00830009"/>
    <w:rsid w:val="008340A4"/>
    <w:rsid w:val="00846327"/>
    <w:rsid w:val="008571DE"/>
    <w:rsid w:val="00866EC0"/>
    <w:rsid w:val="0086791D"/>
    <w:rsid w:val="0087193F"/>
    <w:rsid w:val="00881058"/>
    <w:rsid w:val="008859DA"/>
    <w:rsid w:val="008867F8"/>
    <w:rsid w:val="00887BDB"/>
    <w:rsid w:val="008923DC"/>
    <w:rsid w:val="00893E08"/>
    <w:rsid w:val="00895B2F"/>
    <w:rsid w:val="008B6600"/>
    <w:rsid w:val="008B7099"/>
    <w:rsid w:val="008C5813"/>
    <w:rsid w:val="008C7D7F"/>
    <w:rsid w:val="008D0ED5"/>
    <w:rsid w:val="008D12D2"/>
    <w:rsid w:val="008E2988"/>
    <w:rsid w:val="008E38E8"/>
    <w:rsid w:val="008E4706"/>
    <w:rsid w:val="008E50E2"/>
    <w:rsid w:val="008E63CD"/>
    <w:rsid w:val="00911069"/>
    <w:rsid w:val="00913DC8"/>
    <w:rsid w:val="0092094F"/>
    <w:rsid w:val="00922F3A"/>
    <w:rsid w:val="00924CC0"/>
    <w:rsid w:val="00927614"/>
    <w:rsid w:val="00937027"/>
    <w:rsid w:val="0093733C"/>
    <w:rsid w:val="009411C2"/>
    <w:rsid w:val="00945BBE"/>
    <w:rsid w:val="00946E33"/>
    <w:rsid w:val="00950709"/>
    <w:rsid w:val="009512AE"/>
    <w:rsid w:val="00951A6E"/>
    <w:rsid w:val="00952047"/>
    <w:rsid w:val="00954CD6"/>
    <w:rsid w:val="00955768"/>
    <w:rsid w:val="009622E7"/>
    <w:rsid w:val="00964059"/>
    <w:rsid w:val="00965C5D"/>
    <w:rsid w:val="009769A8"/>
    <w:rsid w:val="00991165"/>
    <w:rsid w:val="00991C80"/>
    <w:rsid w:val="00993F14"/>
    <w:rsid w:val="00995DB2"/>
    <w:rsid w:val="009A1F82"/>
    <w:rsid w:val="009A3882"/>
    <w:rsid w:val="009A4B5B"/>
    <w:rsid w:val="009A6E31"/>
    <w:rsid w:val="009A7346"/>
    <w:rsid w:val="009B23A4"/>
    <w:rsid w:val="009B45B3"/>
    <w:rsid w:val="009C6D76"/>
    <w:rsid w:val="009D03C8"/>
    <w:rsid w:val="009E2839"/>
    <w:rsid w:val="009E28C6"/>
    <w:rsid w:val="009E74C3"/>
    <w:rsid w:val="009E7E80"/>
    <w:rsid w:val="009F53AE"/>
    <w:rsid w:val="00A04527"/>
    <w:rsid w:val="00A06261"/>
    <w:rsid w:val="00A07C67"/>
    <w:rsid w:val="00A12F12"/>
    <w:rsid w:val="00A2155D"/>
    <w:rsid w:val="00A244F8"/>
    <w:rsid w:val="00A25849"/>
    <w:rsid w:val="00A3305C"/>
    <w:rsid w:val="00A33DA6"/>
    <w:rsid w:val="00A3733D"/>
    <w:rsid w:val="00A455AA"/>
    <w:rsid w:val="00A46C52"/>
    <w:rsid w:val="00A46EBA"/>
    <w:rsid w:val="00A47A00"/>
    <w:rsid w:val="00A52229"/>
    <w:rsid w:val="00A56405"/>
    <w:rsid w:val="00A77AA8"/>
    <w:rsid w:val="00A82F2F"/>
    <w:rsid w:val="00AA0199"/>
    <w:rsid w:val="00AA725D"/>
    <w:rsid w:val="00AB61EE"/>
    <w:rsid w:val="00AB66A2"/>
    <w:rsid w:val="00AC1A79"/>
    <w:rsid w:val="00AC7C07"/>
    <w:rsid w:val="00AD13BB"/>
    <w:rsid w:val="00AD1827"/>
    <w:rsid w:val="00AD65D0"/>
    <w:rsid w:val="00AD7047"/>
    <w:rsid w:val="00AD7D75"/>
    <w:rsid w:val="00AE4611"/>
    <w:rsid w:val="00AE666C"/>
    <w:rsid w:val="00AE7173"/>
    <w:rsid w:val="00AF0962"/>
    <w:rsid w:val="00AF533B"/>
    <w:rsid w:val="00AF66EB"/>
    <w:rsid w:val="00B05B2A"/>
    <w:rsid w:val="00B22540"/>
    <w:rsid w:val="00B23976"/>
    <w:rsid w:val="00B241C0"/>
    <w:rsid w:val="00B2612A"/>
    <w:rsid w:val="00B30391"/>
    <w:rsid w:val="00B36FA5"/>
    <w:rsid w:val="00B4539B"/>
    <w:rsid w:val="00B45929"/>
    <w:rsid w:val="00B459BA"/>
    <w:rsid w:val="00B60043"/>
    <w:rsid w:val="00B650B3"/>
    <w:rsid w:val="00B712CF"/>
    <w:rsid w:val="00B91D21"/>
    <w:rsid w:val="00BA1C58"/>
    <w:rsid w:val="00BA3251"/>
    <w:rsid w:val="00BA35A0"/>
    <w:rsid w:val="00BA4C7C"/>
    <w:rsid w:val="00BA7B1B"/>
    <w:rsid w:val="00BB032B"/>
    <w:rsid w:val="00BB04FF"/>
    <w:rsid w:val="00BB1168"/>
    <w:rsid w:val="00BB4056"/>
    <w:rsid w:val="00BC021A"/>
    <w:rsid w:val="00BC380E"/>
    <w:rsid w:val="00BF5F27"/>
    <w:rsid w:val="00BF75CB"/>
    <w:rsid w:val="00C02AA5"/>
    <w:rsid w:val="00C03AF9"/>
    <w:rsid w:val="00C10519"/>
    <w:rsid w:val="00C153AB"/>
    <w:rsid w:val="00C20762"/>
    <w:rsid w:val="00C24311"/>
    <w:rsid w:val="00C3373D"/>
    <w:rsid w:val="00C34574"/>
    <w:rsid w:val="00C35FB8"/>
    <w:rsid w:val="00C43A3D"/>
    <w:rsid w:val="00C47FFC"/>
    <w:rsid w:val="00C5220B"/>
    <w:rsid w:val="00C52368"/>
    <w:rsid w:val="00C52FA1"/>
    <w:rsid w:val="00C62F99"/>
    <w:rsid w:val="00C637C5"/>
    <w:rsid w:val="00C662EB"/>
    <w:rsid w:val="00C70EF6"/>
    <w:rsid w:val="00C7113E"/>
    <w:rsid w:val="00C725F3"/>
    <w:rsid w:val="00C74C8F"/>
    <w:rsid w:val="00C77481"/>
    <w:rsid w:val="00C77E8E"/>
    <w:rsid w:val="00C825DC"/>
    <w:rsid w:val="00C87FF1"/>
    <w:rsid w:val="00C9020A"/>
    <w:rsid w:val="00C9505E"/>
    <w:rsid w:val="00CA1FEA"/>
    <w:rsid w:val="00CB32E9"/>
    <w:rsid w:val="00CB7E9C"/>
    <w:rsid w:val="00CC57FE"/>
    <w:rsid w:val="00CC599F"/>
    <w:rsid w:val="00CD4DEB"/>
    <w:rsid w:val="00CE0BD2"/>
    <w:rsid w:val="00CE1091"/>
    <w:rsid w:val="00CE7658"/>
    <w:rsid w:val="00CF06A1"/>
    <w:rsid w:val="00CF57E4"/>
    <w:rsid w:val="00D010BE"/>
    <w:rsid w:val="00D14981"/>
    <w:rsid w:val="00D176E7"/>
    <w:rsid w:val="00D26CDC"/>
    <w:rsid w:val="00D277DE"/>
    <w:rsid w:val="00D27E0E"/>
    <w:rsid w:val="00D34EA7"/>
    <w:rsid w:val="00D41AA9"/>
    <w:rsid w:val="00D541D3"/>
    <w:rsid w:val="00D55F4D"/>
    <w:rsid w:val="00D56823"/>
    <w:rsid w:val="00D71CEC"/>
    <w:rsid w:val="00D72FB8"/>
    <w:rsid w:val="00D75408"/>
    <w:rsid w:val="00D823FE"/>
    <w:rsid w:val="00D82466"/>
    <w:rsid w:val="00D96730"/>
    <w:rsid w:val="00DA576A"/>
    <w:rsid w:val="00DA7001"/>
    <w:rsid w:val="00DB0B7F"/>
    <w:rsid w:val="00DC07C0"/>
    <w:rsid w:val="00DE4547"/>
    <w:rsid w:val="00DF3D51"/>
    <w:rsid w:val="00DF4B19"/>
    <w:rsid w:val="00DF563B"/>
    <w:rsid w:val="00E0430E"/>
    <w:rsid w:val="00E05F8C"/>
    <w:rsid w:val="00E14297"/>
    <w:rsid w:val="00E279C1"/>
    <w:rsid w:val="00E305CB"/>
    <w:rsid w:val="00E42EE8"/>
    <w:rsid w:val="00E435F5"/>
    <w:rsid w:val="00E50140"/>
    <w:rsid w:val="00E50B31"/>
    <w:rsid w:val="00E5266C"/>
    <w:rsid w:val="00E607F6"/>
    <w:rsid w:val="00E67E49"/>
    <w:rsid w:val="00E73E2B"/>
    <w:rsid w:val="00E74CC2"/>
    <w:rsid w:val="00E7710A"/>
    <w:rsid w:val="00E77CBD"/>
    <w:rsid w:val="00E801F3"/>
    <w:rsid w:val="00E87A23"/>
    <w:rsid w:val="00E90F6F"/>
    <w:rsid w:val="00E916B9"/>
    <w:rsid w:val="00E938A6"/>
    <w:rsid w:val="00E9426A"/>
    <w:rsid w:val="00E96626"/>
    <w:rsid w:val="00EA2E7B"/>
    <w:rsid w:val="00EA31C5"/>
    <w:rsid w:val="00EA59A1"/>
    <w:rsid w:val="00EA6838"/>
    <w:rsid w:val="00EC50CD"/>
    <w:rsid w:val="00EC66FA"/>
    <w:rsid w:val="00ED429F"/>
    <w:rsid w:val="00ED5113"/>
    <w:rsid w:val="00ED5428"/>
    <w:rsid w:val="00EF232E"/>
    <w:rsid w:val="00EF4099"/>
    <w:rsid w:val="00F01BA4"/>
    <w:rsid w:val="00F10F98"/>
    <w:rsid w:val="00F165E8"/>
    <w:rsid w:val="00F179ED"/>
    <w:rsid w:val="00F20F8C"/>
    <w:rsid w:val="00F2255E"/>
    <w:rsid w:val="00F26276"/>
    <w:rsid w:val="00F33DE9"/>
    <w:rsid w:val="00F36510"/>
    <w:rsid w:val="00F36682"/>
    <w:rsid w:val="00F379FC"/>
    <w:rsid w:val="00F443EB"/>
    <w:rsid w:val="00F45A50"/>
    <w:rsid w:val="00F61C47"/>
    <w:rsid w:val="00F70F80"/>
    <w:rsid w:val="00F740D9"/>
    <w:rsid w:val="00F74864"/>
    <w:rsid w:val="00F842C7"/>
    <w:rsid w:val="00F90132"/>
    <w:rsid w:val="00F9190D"/>
    <w:rsid w:val="00F947F1"/>
    <w:rsid w:val="00FB4173"/>
    <w:rsid w:val="00FB4C78"/>
    <w:rsid w:val="00FB658A"/>
    <w:rsid w:val="00FB7634"/>
    <w:rsid w:val="00FC01BD"/>
    <w:rsid w:val="00FC149B"/>
    <w:rsid w:val="00FC2832"/>
    <w:rsid w:val="00FC2D75"/>
    <w:rsid w:val="00FD0347"/>
    <w:rsid w:val="00FD145C"/>
    <w:rsid w:val="00FD44F6"/>
    <w:rsid w:val="00FF2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28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801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C2D75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E801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C2D75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E76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C2D75"/>
    <w:rPr>
      <w:rFonts w:cs="Times New Roman"/>
      <w:sz w:val="2"/>
    </w:rPr>
  </w:style>
  <w:style w:type="character" w:styleId="aa">
    <w:name w:val="Strong"/>
    <w:basedOn w:val="a0"/>
    <w:uiPriority w:val="99"/>
    <w:qFormat/>
    <w:rsid w:val="00AA725D"/>
    <w:rPr>
      <w:rFonts w:cs="Times New Roman"/>
      <w:b/>
    </w:rPr>
  </w:style>
  <w:style w:type="paragraph" w:customStyle="1" w:styleId="ConsPlusNonformat">
    <w:name w:val="ConsPlusNonformat"/>
    <w:uiPriority w:val="99"/>
    <w:rsid w:val="00D34EA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4EA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Normal (Web)"/>
    <w:basedOn w:val="a"/>
    <w:uiPriority w:val="99"/>
    <w:rsid w:val="00555C1D"/>
    <w:pPr>
      <w:spacing w:before="100" w:beforeAutospacing="1" w:after="100" w:afterAutospacing="1"/>
    </w:pPr>
  </w:style>
  <w:style w:type="paragraph" w:styleId="ac">
    <w:name w:val="List Paragraph"/>
    <w:basedOn w:val="a"/>
    <w:uiPriority w:val="99"/>
    <w:qFormat/>
    <w:rsid w:val="006773DB"/>
    <w:pPr>
      <w:ind w:left="708"/>
    </w:pPr>
  </w:style>
  <w:style w:type="character" w:customStyle="1" w:styleId="apple-style-span">
    <w:name w:val="apple-style-span"/>
    <w:uiPriority w:val="99"/>
    <w:rsid w:val="006E728B"/>
  </w:style>
  <w:style w:type="character" w:styleId="ad">
    <w:name w:val="Hyperlink"/>
    <w:basedOn w:val="a0"/>
    <w:uiPriority w:val="99"/>
    <w:rsid w:val="006E728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6E728B"/>
  </w:style>
  <w:style w:type="paragraph" w:customStyle="1" w:styleId="ConsPlusNormal">
    <w:name w:val="ConsPlusNormal"/>
    <w:uiPriority w:val="99"/>
    <w:rsid w:val="000E153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e">
    <w:name w:val="page number"/>
    <w:basedOn w:val="a0"/>
    <w:uiPriority w:val="99"/>
    <w:rsid w:val="00F842C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28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801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C2D75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E801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C2D75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E76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C2D75"/>
    <w:rPr>
      <w:rFonts w:cs="Times New Roman"/>
      <w:sz w:val="2"/>
    </w:rPr>
  </w:style>
  <w:style w:type="character" w:styleId="aa">
    <w:name w:val="Strong"/>
    <w:basedOn w:val="a0"/>
    <w:uiPriority w:val="99"/>
    <w:qFormat/>
    <w:rsid w:val="00AA725D"/>
    <w:rPr>
      <w:rFonts w:cs="Times New Roman"/>
      <w:b/>
    </w:rPr>
  </w:style>
  <w:style w:type="paragraph" w:customStyle="1" w:styleId="ConsPlusNonformat">
    <w:name w:val="ConsPlusNonformat"/>
    <w:uiPriority w:val="99"/>
    <w:rsid w:val="00D34EA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4EA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Normal (Web)"/>
    <w:basedOn w:val="a"/>
    <w:uiPriority w:val="99"/>
    <w:rsid w:val="00555C1D"/>
    <w:pPr>
      <w:spacing w:before="100" w:beforeAutospacing="1" w:after="100" w:afterAutospacing="1"/>
    </w:pPr>
  </w:style>
  <w:style w:type="paragraph" w:styleId="ac">
    <w:name w:val="List Paragraph"/>
    <w:basedOn w:val="a"/>
    <w:uiPriority w:val="99"/>
    <w:qFormat/>
    <w:rsid w:val="006773DB"/>
    <w:pPr>
      <w:ind w:left="708"/>
    </w:pPr>
  </w:style>
  <w:style w:type="character" w:customStyle="1" w:styleId="apple-style-span">
    <w:name w:val="apple-style-span"/>
    <w:uiPriority w:val="99"/>
    <w:rsid w:val="006E728B"/>
  </w:style>
  <w:style w:type="character" w:styleId="ad">
    <w:name w:val="Hyperlink"/>
    <w:basedOn w:val="a0"/>
    <w:uiPriority w:val="99"/>
    <w:rsid w:val="006E728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6E728B"/>
  </w:style>
  <w:style w:type="paragraph" w:customStyle="1" w:styleId="ConsPlusNormal">
    <w:name w:val="ConsPlusNormal"/>
    <w:uiPriority w:val="99"/>
    <w:rsid w:val="000E153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e">
    <w:name w:val="page number"/>
    <w:basedOn w:val="a0"/>
    <w:uiPriority w:val="99"/>
    <w:rsid w:val="00F842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4589">
          <w:marLeft w:val="120"/>
          <w:marRight w:val="120"/>
          <w:marTop w:val="120"/>
          <w:marBottom w:val="120"/>
          <w:divBdr>
            <w:top w:val="none" w:sz="0" w:space="0" w:color="auto"/>
            <w:left w:val="single" w:sz="6" w:space="6" w:color="BBBBBB"/>
            <w:bottom w:val="none" w:sz="0" w:space="0" w:color="auto"/>
            <w:right w:val="none" w:sz="0" w:space="0" w:color="auto"/>
          </w:divBdr>
        </w:div>
        <w:div w:id="2063164592">
          <w:marLeft w:val="120"/>
          <w:marRight w:val="120"/>
          <w:marTop w:val="120"/>
          <w:marBottom w:val="120"/>
          <w:divBdr>
            <w:top w:val="none" w:sz="0" w:space="0" w:color="auto"/>
            <w:left w:val="single" w:sz="6" w:space="6" w:color="BBBBBB"/>
            <w:bottom w:val="none" w:sz="0" w:space="0" w:color="auto"/>
            <w:right w:val="none" w:sz="0" w:space="0" w:color="auto"/>
          </w:divBdr>
        </w:div>
        <w:div w:id="2063164593">
          <w:marLeft w:val="120"/>
          <w:marRight w:val="120"/>
          <w:marTop w:val="120"/>
          <w:marBottom w:val="120"/>
          <w:divBdr>
            <w:top w:val="none" w:sz="0" w:space="0" w:color="auto"/>
            <w:left w:val="single" w:sz="6" w:space="6" w:color="BBBBBB"/>
            <w:bottom w:val="none" w:sz="0" w:space="0" w:color="auto"/>
            <w:right w:val="none" w:sz="0" w:space="0" w:color="auto"/>
          </w:divBdr>
        </w:div>
      </w:divsChild>
    </w:div>
    <w:div w:id="206316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3349;fld=134;dst=100882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granell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ranell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 ДЕКЛАРАЦИЯ ЖИЛОГО  КОМПЛЕКСА</vt:lpstr>
    </vt:vector>
  </TitlesOfParts>
  <Company>1</Company>
  <LinksUpToDate>false</LinksUpToDate>
  <CharactersWithSpaces>10556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 ДЕКЛАРАЦИЯ ЖИЛОГО  КОМПЛЕКСА</dc:title>
  <dc:creator>1</dc:creator>
  <cp:lastModifiedBy>Анжелика</cp:lastModifiedBy>
  <cp:revision>2</cp:revision>
  <cp:lastPrinted>2013-11-08T13:36:00Z</cp:lastPrinted>
  <dcterms:created xsi:type="dcterms:W3CDTF">2014-09-17T17:29:00Z</dcterms:created>
  <dcterms:modified xsi:type="dcterms:W3CDTF">2014-09-17T17:29:00Z</dcterms:modified>
</cp:coreProperties>
</file>